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BVerfSchG — Verdeckte Mitarbeiter</w:t>
      </w:r>
    </w:p>
    <w:p>
      <w:r>
        <w:rPr>
          <w:color w:val="555555"/>
          <w:sz w:val="18"/>
        </w:rPr>
        <w:t xml:space="preserve">Bundesverfassungsschutzgesetz</w:t>
      </w:r>
    </w:p>
    <w:p>
      <w:r>
        <w:rPr>
          <w:color w:val="555555"/>
          <w:sz w:val="18"/>
        </w:rPr>
        <w:t xml:space="preserve">Stand: 10.06.2019 (konsolidierte Textfassung, kein amtliches Inkrafttretensdatum)</w:t>
      </w:r>
    </w:p>
    <w:p>
      <w:r>
        <w:t xml:space="preserve">(1) Das Bundesamt für Verfassungsschutz darf eigene Mitarbeiter unter einer ihnen verliehenen und auf Dauer angelegten Legende (Verdeckte Mitarbeiter) zur Aufklärung von Bestrebungen unter den Voraussetzungen des § 9 Absatz 1 einsetzen. Ein dauerhafter Einsatz zur Aufklärung von Bestrebungen nach § 3 Absatz 1 Nummer 1 und 4 ist nur bei Bestrebungen von erheblicher Bedeutung zulässig, insbesondere wenn sie darauf gerichtet sind, Gewalt anzuwenden oder Gewaltanwendung vorzubereiten.</w:t>
      </w:r>
    </w:p>
    <w:p>
      <w:r>
        <w:t xml:space="preserve">(2) Verdeckte Mitarbeiter dürfen weder zur Gründung von Bestrebungen nach § 3 Absatz 1 Nummer 1, 3 oder 4 noch zur steuernden Einflussnahme auf derartige Bestrebungen eingesetzt werden. Sie dürfen in solchen Personenzusammenschlüssen oder für solche Personenzusammenschlüsse, einschließlich strafbare Vereinigungen, tätig werden, um deren Bestrebungen aufzuklären. Im Übrigen ist im Einsatz eine Beteiligung an Bestrebungen zulässig, wenn sie</w:t>
      </w:r>
    </w:p>
    <w:p>
      <w:pPr>
        <w:ind w:left="420"/>
      </w:pPr>
      <w:r>
        <w:t xml:space="preserve">1. nicht in Individualrechte eingreift,</w:t>
      </w:r>
    </w:p>
    <w:p>
      <w:pPr>
        <w:ind w:left="420"/>
      </w:pPr>
      <w:r>
        <w:t xml:space="preserve">2. von den an den Bestrebungen Beteiligten derart erwartet wird, dass sie zur Gewinnung und Sicherung der Informationszugänge unumgänglich ist und</w:t>
      </w:r>
    </w:p>
    <w:p>
      <w:pPr>
        <w:ind w:left="420"/>
      </w:pPr>
      <w:r>
        <w:t xml:space="preserve">3. nicht außer Verhältnis zur Bedeutung des aufzuklärenden Sachverhalts steht.</w:t>
      </w:r>
    </w:p>
    <w:p>
      <w:r>
        <w:t xml:space="preserve">Sofern zureichende tatsächliche Anhaltspunkte dafür bestehen, dass Verdeckte Mitarbeiter rechtswidrig einen Straftatbestand von erheblicher Bedeutung verwirklicht haben, soll der Einsatz unverzüglich beendet und die Strafverfolgungsbehörde unterrichtet werden. Über Ausnahmen nach Satz 4 entscheidet der Behördenleiter oder sein Vertreter.</w:t>
      </w:r>
    </w:p>
    <w:p>
      <w:r>
        <w:t xml:space="preserve">(3) Die Staatsanwaltschaft kann von der Verfolgung von im Einsatz begangenen Vergehen absehen oder eine bereits erhobene Klage in jeder Lage des Verfahrens zurücknehmen und das Verfahren einstellen, wenn</w:t>
      </w:r>
    </w:p>
    <w:p>
      <w:pPr>
        <w:ind w:left="420"/>
      </w:pPr>
      <w:r>
        <w:t xml:space="preserve">1. der Einsatz zur Aufklärung von Bestrebungen erfolgte, die auf die Begehung von in § 3 Absatz 1 des Artikel 10-Gesetzes bezeichneten Straftaten gerichtet sind, und</w:t>
      </w:r>
    </w:p>
    <w:p>
      <w:pPr>
        <w:ind w:left="420"/>
      </w:pPr>
      <w:r>
        <w:t xml:space="preserve">2. die Tat von an den Bestrebungen Beteiligten derart erwartet wurde, dass sie zur Gewinnung und Sicherung der Informationszugänge unumgänglich war.</w:t>
      </w:r>
    </w:p>
    <w:p>
      <w:r>
        <w:t xml:space="preserve">Dabei ist das Verhältnis der Bedeutung der Aufklärung der Bestrebungen zur Schwere der begangenen Straftat und Schuld des Täters zu berücksichtigen. Ein Absehen von der Verfolgung ist ausgeschlossen, wenn eine höhere Strafe als ein Jahr Freiheitsstrafe zu erwarten ist. Ein Absehen von der Verfolgung ist darüber hinaus stets ausgeschlossen, wenn zu erwarten ist, dass die Strafe nicht zur Bewährung ausgesetzt werden würde. Die Sätze 1 bis 4 gelten auch in Fällen der Landesbehörden für Verfassungsschutz.</w:t>
      </w:r>
    </w:p>
    <w:p>
      <w:r>
        <w:rPr>
          <w:color w:val="555555"/>
          <w:sz w:val="17"/>
        </w:rPr>
        <w:t xml:space="preserve">Zitiervorschlag: § 9a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