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8b BVerfSchG — Verfahrensregelungen zu besonderen Auskunftsverlangen</w:t>
      </w:r>
    </w:p>
    <w:p>
      <w:r>
        <w:rPr>
          <w:color w:val="555555"/>
          <w:sz w:val="18"/>
        </w:rPr>
        <w:t xml:space="preserve">Bundesverfassungsschutzgesetz</w:t>
      </w:r>
    </w:p>
    <w:p>
      <w:r>
        <w:rPr>
          <w:color w:val="555555"/>
          <w:sz w:val="18"/>
        </w:rPr>
        <w:t xml:space="preserve">Stand: 01.12.2021 (konsolidierte Textfassung, kein amtliches Inkrafttretensdatum)</w:t>
      </w:r>
    </w:p>
    <w:p>
      <w:r>
        <w:t xml:space="preserve">(1) Anordnungen nach § 8a Absatz 1 und 2 werden vom Behördenleiter oder seinem Vertreter beantragt; der Antrag ist schriftlich zu stellen und zu begründen. Zuständig für die Anordnungen ist das Bundesministerium des Innern, für Bau und Heimat. Die Anordnung einer Auskunft über künftig anfallende Daten ist auf höchstens drei Monate zu befristen. Die Verlängerung dieser Anordnung um jeweils nicht mehr als drei Monate ist auf Antrag zulässig, soweit die Voraussetzungen der Anordnung fortbestehen. Auf die Anordnung der Verlängerung finden die Sätze 1 und 2 Anwendung.</w:t>
      </w:r>
    </w:p>
    <w:p>
      <w:r>
        <w:t xml:space="preserve">(2) Über Anordnungen nach § 8a Absatz 1 und 2 unterrichtet das Bundesministerium des Innern, für Bau und Heimat monatlich die G 10-Kommission (§ 1 Absatz 2 des Artikel 10-Gesetzes) vor deren Vollzug. Bei Gefahr im Verzug kann es den Vollzug der Entscheidung auch bereits vor der Unterrichtung der G 10-Kommission anordnen. Die G 10-Kommission prüft von Amts wegen oder auf Grund von Beschwerden die Zulässigkeit und Notwendigkeit der Einholung von Auskünften. § 15 Absatz 5 des Artikel 10-Gesetzes ist mit der Maßgabe entsprechend anzuwenden, dass die Kontrollbefugnis der Kommission sich auf die gesamte Verarbeitung der nach § 8a Absatz 1 und 2 erlangten personenbezogenen Daten erstreckt. Entscheidungen über Auskünfte, welche die G 10-Kommission für unzulässig oder nicht notwendig erklärt, hat das Bundesministerium des Innern, für Bau und Heimat unverzüglich aufzuheben. Die Daten unterliegen in diesem Falle einem absoluten Verwendungsverbot und sind unverzüglich zu löschen. Für die Verarbeitung der nach § 8a Absatz 1 und 2 erhobenen Daten ist § 4 des Artikel 10-Gesetzes entsprechend anzuwenden.</w:t>
      </w:r>
    </w:p>
    <w:p>
      <w:r>
        <w:t xml:space="preserve">(3) Das Bundesministerium des Innern, für Bau und Heimat unterrichtet im Abstand von höchstens sechs Monaten das Parlamentarische Kontrollgremium über Anordnungen nach § 8a Absatz 1 und 2; dabei ist insbesondere ein Überblick über Anlass, Umfang, Dauer, Ergebnis und Kosten der im Berichtszeitraum durchgeführten Maßnahmen zu geben. Das Gremium erstattet dem Deutschen Bundestag jährlich einen Bericht über die Durchführung sowie Art, Umfang und Anordnungsgründe der Maßnahmen; dabei sind die Grundsätze des § 10 Absatz 1 des Kontrollgremiumgesetzes zu beachten.</w:t>
      </w:r>
    </w:p>
    <w:p>
      <w:r>
        <w:t xml:space="preserve">(4) Anordnungen sind dem Verpflichteten insoweit schriftlich mitzuteilen, als dies erforderlich ist, um ihm die Erfüllung seiner Verpflichtung zu ermöglichen. Anordnungen und übermittelte Daten dürfen dem Betroffenen oder Dritten vom Verpflichteten nicht mitgeteilt werden.</w:t>
      </w:r>
    </w:p>
    <w:p>
      <w:r>
        <w:t xml:space="preserve">(5) Dem Verpflichteten ist es verboten, allein auf Grund einer Anordnung nach § 8a Absatz 1 einseitige Handlungen vorzunehmen, die für den Betroffenen nachteilig sind und die über die Erteilung der Auskunft hinausgehen, insbesondere bestehende Verträge oder Geschäftsverbindungen zu beenden, ihren Umfang zu beschränken oder ein Entgelt zu erheben oder zu erhöhen. Die Anordnung ist mit dem ausdrücklichen Hinweis auf dieses Verbot und darauf zu verbinden, dass das Auskunftsersuchen nicht die Aussage beinhaltet, dass sich die betroffene Person rechtswidrig verhalten hat oder ein darauf gerichteter Verdacht bestehen müsse.</w:t>
      </w:r>
    </w:p>
    <w:p>
      <w:r>
        <w:t xml:space="preserve">(6) Die in § 8a Absatz 1 Satz 1 genannten Stellen sind verpflichtet, die Auskunft unverzüglich und vollständig und in dem Format zu erteilen, das durch die auf Grund von Absatz 8 Satz 1 bis 3 erlassene Rechtsverordnung oder in den in Absatz 8 Satz 4 und 5 bezeichneten Rechtsvorschriften vorgeschrieben ist.</w:t>
      </w:r>
    </w:p>
    <w:p>
      <w:r>
        <w:t xml:space="preserve">(7) Für Anordnungen nach § 8a findet § 12 Absatz 1 des Artikel 10-Gesetzes entsprechende Anwendung, mit der Maßgabe, dass § 12 Absatz 1 Satz 5 des Artikel 10-Gesetzes nur für Maßnahmen nach § 8a Absatz 1 Satz 1 Nummer 4 und 5 Anwendung findet. Wurden personenbezogene Daten an eine andere Stelle übermittelt, erfolgt die Mitteilung im Benehmen mit dieser.</w:t>
      </w:r>
    </w:p>
    <w:p>
      <w:r>
        <w:t xml:space="preserve">(8) Das Bundesministerium des Innern, für Bau und Heimat wird ermächtigt, durch Rechtsverordnung im Einvernehmen mit dem Bundeskanzleramt, dem Bundesministerium für Wirtschaft und Energie, dem Bundesministerium für Verkehr und digitale Infrastruktur, dem Bundesministerium der Justiz und für Verbraucherschutz und dem Bundesministerium der Verteidigung ohne Zustimmung des Bundesrates zu bestimmen, dass Auskünfte nach § 8a Absatz 1 mit Ausnahme der Auskünfte nach § 8a Absatz 1 Satz 1 Nummer 4, auch soweit andere Vorschriften hierauf verweisen, ganz oder teilweise auf maschinell verwertbaren Datenträgern oder durch Datenfernübertragung übermittelt werden müssen. Dabei können insbesondere geregelt werden</w:t>
      </w:r>
    </w:p>
    <w:p>
      <w:pPr>
        <w:ind w:left="420"/>
      </w:pPr>
      <w:r>
        <w:t xml:space="preserve">1. die Voraussetzungen für die Anwendung des Verfahrens,</w:t>
      </w:r>
    </w:p>
    <w:p>
      <w:pPr>
        <w:ind w:left="420"/>
      </w:pPr>
      <w:r>
        <w:t xml:space="preserve">2. das Nähere über Form, Inhalt, Verarbeitung und Sicherung der zu übermittelnden Daten,</w:t>
      </w:r>
    </w:p>
    <w:p>
      <w:pPr>
        <w:ind w:left="420"/>
      </w:pPr>
      <w:r>
        <w:t xml:space="preserve">3. die Art und Weise der Übermittlung der Daten,</w:t>
      </w:r>
    </w:p>
    <w:p>
      <w:pPr>
        <w:ind w:left="420"/>
      </w:pPr>
      <w:r>
        <w:t xml:space="preserve">4. die Zuständigkeit für die Entgegennahme der zu übermittelnden Daten,</w:t>
      </w:r>
    </w:p>
    <w:p>
      <w:pPr>
        <w:ind w:left="420"/>
      </w:pPr>
      <w:r>
        <w:t xml:space="preserve">5. der Umfang und die Form der für dieses Verfahren erforderlichen besonderen Erklärungspflichten des Auskunftspflichtigen und</w:t>
      </w:r>
    </w:p>
    <w:p>
      <w:pPr>
        <w:ind w:left="420"/>
      </w:pPr>
      <w:r>
        <w:t xml:space="preserve">6. Tatbestände und Bemessung einer auf Grund der Auskunftserteilung an Verpflichtete zu leistenden Aufwandsentschädigung.</w:t>
      </w:r>
    </w:p>
    <w:p>
      <w:r>
        <w:t xml:space="preserve">Zur Regelung der Datenübermittlung kann in der Rechtsverordnung auf Veröffentlichungen sachverständiger Stellen verwiesen werden; hierbei sind das Datum der Veröffentlichung, die Bezugsquelle und eine Stelle zu bezeichnen, bei der die Veröffentlichung archivmäßig gesichert niedergelegt ist. Die Vorgaben für die Erteilung von Auskünften nach § 8a Absatz 1 Satz 1 Nummer 4, insbesondere ob und in welchem Umfang die Verpflichteten hierfür Vorkehrungen für die technische und organisatorische Umsetzung der Auskunftsverpflichtung zu treffen haben, bestimmen sich nach § 170 des Telekommunikationsgesetzes und der dazu erlassenen Rechtsverordnung. Die technischen Einzelheiten, die zur Auskunftserteilung sowie zur Gestaltung des Übergabepunktes zu den berechtigten Stellen erforderlich sind, insbesondere das technische Format für die Übermittlung derartiger Auskunftsverlangen an die Verpflichteten und die Rückübermittlung der zugehörigen Auskünfte an die berechtigten Stellen, richten sich nach den Festlegungen in der Technischen Richtlinie nach § 170 Absatz 6 des Telekommunikationsgesetzes.</w:t>
      </w:r>
    </w:p>
    <w:p>
      <w:r>
        <w:t xml:space="preserve">(9) Für die Erteilung von Auskünften nach § 8a Absatz 1 Satz 1 Nummer 4 hat der Verpflichtete Anspruch auf Entschädigung entsprechend § 23 des Justizvergütungs- und -entschädigungsgesetzes.</w:t>
      </w:r>
    </w:p>
    <w:p>
      <w:r>
        <w:t xml:space="preserve">(10) Die Befugnisse nach § 8a Absatz 1 Satz 1 Nummer 4 und 5 stehen den Verfassungsschutzbehörden der Länder nur dann zu, wenn das Verfahren sowie die Beteiligung der G 10-Kommission, die Verarbeitung der erhobenen Daten und die Mitteilung an den Betroffenen gleichwertig wie in Absatz 2 und ferner eine Absatz 3 gleichwertige parlamentarische Kontrolle sowie eine Verpflichtung zur Berichterstattung über die durchgeführten Maßnahmen an das Parlamentarische Kontrollgremium des Bundes unter entsprechender Anwendung des Absatzes 3 Satz 1 zweiter Halbsatz für dessen Berichte nach Absatz 3 Satz 2 durch den Landesgesetzgeber geregelt ist. Die Verpflichtungen zur gleichwertigen parlamentarischen Kontrolle nach Absatz 3 gelten auch für die Befugnisse nach § 8a Absatz 1 Satz 1 Nummer 1 und 2. Landesrecht kann für Auskünfte an die jeweilige Verfassungsschutzbehörde des Landes Regelungen vorsehen, die dem Absatz 5 entsprechen, und die auf Grund von Absatz 8 Satz 1 bis 3 erlassene Rechtsverordnung sowie die Vorgaben nach Absatz 8 Satz 4 und 5 für solche Auskünfte für anwendbar erklären.</w:t>
      </w:r>
    </w:p>
    <w:p>
      <w:r>
        <w:rPr>
          <w:color w:val="555555"/>
          <w:sz w:val="17"/>
        </w:rPr>
        <w:t xml:space="preserve">Zitiervorschlag: § 8b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