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BVerfSchG — Besondere Auskunftsverlangen</w:t>
      </w:r>
    </w:p>
    <w:p>
      <w:r>
        <w:rPr>
          <w:color w:val="555555"/>
          <w:sz w:val="18"/>
        </w:rPr>
        <w:t xml:space="preserve">Bundesverfassungsschutzgesetz</w:t>
      </w:r>
    </w:p>
    <w:p>
      <w:r>
        <w:rPr>
          <w:color w:val="555555"/>
          <w:sz w:val="18"/>
        </w:rPr>
        <w:t xml:space="preserve">Stand: 31.10.2024 (konsolidierte Textfassung, kein amtliches Inkrafttretensdatum)</w:t>
      </w:r>
    </w:p>
    <w:p>
      <w:r>
        <w:t xml:space="preserve">(1) Das Bundesamt für Verfassungsschutz darf im Einzelfall Auskunft einholen bei</w:t>
      </w:r>
    </w:p>
    <w:p>
      <w:pPr>
        <w:ind w:left="420"/>
      </w:pPr>
      <w:r>
        <w:t xml:space="preserve">1. Luftfahrtunternehmen sowie Betreibern von Computerreservierungssystemen und Globalen Distributionssystemen für Flüge zu Namen und Anschriften des Kunden sowie zur Inanspruchnahme und den Umständen von Transportleistungen, insbesondere zum Zeitpunkt von Abfertigung und Abflug und zum Buchungsweg,</w:t>
      </w:r>
    </w:p>
    <w:p>
      <w:pPr>
        <w:ind w:left="420"/>
      </w:pPr>
      <w:r>
        <w:t xml:space="preserve">2. Kreditinstituten, Finanzdienstleistungsinstituten, Wertpapierinstituten und Finanzunternehmen zu Konten, Konteninhabern und sonstigen Berechtigten sowie weiteren am Zahlungsverkehr Beteiligten und zu Geldbewegungen und Geldanlagen, insbesondere über Kontostand und Zahlungsein- und -ausgänge,</w:t>
      </w:r>
    </w:p>
    <w:p>
      <w:pPr>
        <w:ind w:left="420"/>
      </w:pPr>
      <w:r>
        <w:t xml:space="preserve">3. (weggefallen)</w:t>
      </w:r>
    </w:p>
    <w:p>
      <w:pPr>
        <w:ind w:left="420"/>
      </w:pPr>
      <w:r>
        <w:t xml:space="preserve">4. denjenigen, die geschäftsmäßig Telekommunikationsdienste erbringen oder daran mitwirken, zu Verkehrsdaten nach § 9 Absatz 1 Satz 1 Nummer 1 bis 4 des Telekommunikation-Digitale-Dienste-Datenschutz-Gesetzes und sonstigen zum Aufbau und zur Aufrechterhaltung der Telekommunikation notwendigen Verkehrsdaten und</w:t>
      </w:r>
    </w:p>
    <w:p>
      <w:pPr>
        <w:ind w:left="420"/>
      </w:pPr>
      <w:r>
        <w:t xml:space="preserve">5. denjenigen, die geschäftsmäßig Teledienste erbringen oder daran mitwirken, zu</w:t>
      </w:r>
    </w:p>
    <w:p>
      <w:pPr>
        <w:ind w:left="780"/>
      </w:pPr>
      <w:r>
        <w:t xml:space="preserve">a) Merkmalen zur Identifikation des Nutzers eines Teledienstes,</w:t>
      </w:r>
    </w:p>
    <w:p>
      <w:pPr>
        <w:ind w:left="780"/>
      </w:pPr>
      <w:r>
        <w:t xml:space="preserve">b) Angaben über Beginn und Ende sowie über den Umfang der jeweiligen Nutzung und</w:t>
      </w:r>
    </w:p>
    <w:p>
      <w:pPr>
        <w:ind w:left="780"/>
      </w:pPr>
      <w:r>
        <w:t xml:space="preserve">c) Angaben über die vom Nutzer in Anspruch genommenen Teledienste,</w:t>
      </w:r>
    </w:p>
    <w:p>
      <w:r>
        <w:t xml:space="preserve">soweit dies zur Sammlung und Auswertung von Informationen erforderlich ist und Tatsachen die Annahme rechtfertigen, dass schwerwiegende Gefahren für die in § 3 Abs. 1 genannten Schutzgüter vorliegen. Für Satz 1 Nummer 1, 4 und 5 gilt dies im Fall des § 3 Absatz 1 Nummer 1 nur für Bestrebungen, die bezwecken oder auf Grund ihrer Wirkungsweise geeignet sind,</w:t>
      </w:r>
    </w:p>
    <w:p>
      <w:pPr>
        <w:ind w:left="420"/>
      </w:pPr>
      <w:r>
        <w:t xml:space="preserve">1. zu Hass oder Willkürmaßnahmen gegen Teile der Bevölkerung aufzustacheln oder deren Menschenwürde durch Beschimpfen, böswilliges Verächtlichmachen oder Verleumden anzugreifen und dadurch die Bereitschaft zur Anwendung von Gewalt zu fördern und den öffentlichen Frieden zu stören oder</w:t>
      </w:r>
    </w:p>
    <w:p>
      <w:pPr>
        <w:ind w:left="420"/>
      </w:pPr>
      <w:r>
        <w:t xml:space="preserve">2. Gewalt anzuwenden oder vorzubereiten, einschließlich dem Befürworten, Hervorrufen oder Unterstützen von Gewaltanwendung, auch durch Unterstützen von Vereinigungen, die Anschläge gegen Personen oder Sachen veranlassen, befürworten oder androhen.</w:t>
      </w:r>
    </w:p>
    <w:p>
      <w:r>
        <w:t xml:space="preserve">(2) Soweit dies zur Sammlung und Auswertung von Informationen erforderlich ist und Tatsachen die Annahme rechtfertigen, dass schwerwiegende Gefahren für die in § 3 Absatz 1 genannten Schutzgüter vorliegen, darf das Bundesamt für Verfassungsschutz im Einzelfall das Bundeszentralamt für Steuern ersuchen, bei den Kreditinstituten die in § 93b Absatz 1 der Abgabenordnung bezeichneten Daten abzurufen. § 93 Absatz 9 der Abgabenordnung findet keine Anwendung.</w:t>
      </w:r>
    </w:p>
    <w:p>
      <w:r>
        <w:t xml:space="preserve">(3) Anordnungen nach den Absätzen 1 und 2 dürfen sich nur gegen Personen richten, bei denen</w:t>
      </w:r>
    </w:p>
    <w:p>
      <w:pPr>
        <w:ind w:left="420"/>
      </w:pPr>
      <w:r>
        <w:t xml:space="preserve">1. tatsächliche Anhaltspunkte dafür vorliegen, dass sie die schwerwiegenden Gefahren nach den Absätzen 1 und 2 nachdrücklich fördern, oder</w:t>
      </w:r>
    </w:p>
    <w:p>
      <w:pPr>
        <w:ind w:left="420"/>
      </w:pPr>
      <w:r>
        <w:t xml:space="preserve">2. auf Grund bestimmter Tatsachen anzunehmen ist</w:t>
      </w:r>
    </w:p>
    <w:p>
      <w:pPr>
        <w:ind w:left="780"/>
      </w:pPr>
      <w:r>
        <w:t xml:space="preserve">a) bei Auskünften nach Absatz 1 Satz 1 Nummer 1, 2 und 5 sowie nach Absatz 2, dass sie die Leistung für eine Person nach Nummer 1 in Anspruch nehmen, oder</w:t>
      </w:r>
    </w:p>
    <w:p>
      <w:pPr>
        <w:ind w:left="780"/>
      </w:pPr>
      <w:r>
        <w:t xml:space="preserve">b) bei Auskünften nach Absatz 1 Satz 1 Nummer 4, dass sie für eine Person nach Nummer 1 bestimmte oder von ihr herrührende Mitteilungen entgegennehmen oder weitergeben, oder dass eine Person nach Nummer 1 ihren Anschluss benutzt.</w:t>
      </w:r>
    </w:p>
    <w:p>
      <w:r>
        <w:t xml:space="preserve">(4) Auskunft nach den Absätzen 1 und 2 darf bei Unternehmen eingeholt werden, die in Deutschland</w:t>
      </w:r>
    </w:p>
    <w:p>
      <w:pPr>
        <w:ind w:left="420"/>
      </w:pPr>
      <w:r>
        <w:t xml:space="preserve">1. eine Niederlassung haben oder</w:t>
      </w:r>
    </w:p>
    <w:p>
      <w:pPr>
        <w:ind w:left="420"/>
      </w:pPr>
      <w:r>
        <w:t xml:space="preserve">2. Leistungen erbringen oder hieran nach Absatz 2 Satz 1 Nummer 4 oder Nummer 5 mitwirken.</w:t>
      </w:r>
    </w:p>
    <w:p>
      <w:r>
        <w:t xml:space="preserve">(5) bis (9) (weggefallen)</w:t>
      </w:r>
    </w:p>
    <w:p>
      <w:r>
        <w:rPr>
          <w:color w:val="555555"/>
          <w:sz w:val="17"/>
        </w:rPr>
        <w:t xml:space="preserve">Zitiervorschlag: § 8a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