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BVerfSchG — Begriffsbestimmungen</w:t>
      </w:r>
    </w:p>
    <w:p>
      <w:r>
        <w:rPr>
          <w:color w:val="555555"/>
          <w:sz w:val="18"/>
        </w:rPr>
        <w:t xml:space="preserve">Bundesverfassungsschutzgesetz</w:t>
      </w:r>
    </w:p>
    <w:p>
      <w:r>
        <w:rPr>
          <w:color w:val="555555"/>
          <w:sz w:val="18"/>
        </w:rPr>
        <w:t xml:space="preserve">Stand: 10.07.2021 (konsolidierte Textfassung, kein amtliches Inkrafttretensdatum)</w:t>
      </w:r>
    </w:p>
    <w:p>
      <w:r>
        <w:t xml:space="preserve">(1) Im Sinne dieses Gesetzes sind</w:t>
      </w:r>
    </w:p>
    <w:p>
      <w:pPr>
        <w:ind w:left="420"/>
      </w:pPr>
      <w:r>
        <w:t xml:space="preserve">a) Bestrebungen gegen den Bestand des Bundes oder eines Landes solche politisch bestimmten, ziel- und zweckgerichteten Verhaltensweisen in einem oder für einen Personenzusammenschluß, der darauf gerichtet ist, die Freiheit des Bundes oder eines Landes von fremder Herrschaft aufzuheben, ihre staatliche Einheit zu beseitigen oder ein zu ihm gehörendes Gebiet abzutrennen;</w:t>
      </w:r>
    </w:p>
    <w:p>
      <w:pPr>
        <w:ind w:left="420"/>
      </w:pPr>
      <w:r>
        <w:t xml:space="preserve">b) Bestrebungen gegen die Sicherheit des Bundes oder eines Landes solche politisch bestimmten, ziel- und zweckgerichteten Verhaltensweisen in einem oder für einen Personenzusammenschluß, der darauf gerichtet ist, den Bund, Länder oder deren Einrichtungen in ihrer Funktionsfähigkeit erheblich zu beeinträchtigen;</w:t>
      </w:r>
    </w:p>
    <w:p>
      <w:pPr>
        <w:ind w:left="420"/>
      </w:pPr>
      <w:r>
        <w:t xml:space="preserve">c) Bestrebungen gegen die freiheitliche demokratische Grundordnung solche politisch bestimmten, ziel- und zweckgerichteten Verhaltensweisen in einem oder für einen Personenzusammenschluß, der darauf gerichtet ist, einen der in Absatz 2 genannten Verfassungsgrundsätze zu beseitigen oder außer Geltung zu setzen.</w:t>
      </w:r>
    </w:p>
    <w:p>
      <w:r>
        <w:t xml:space="preserve">Für einen Personenzusammenschluß handelt, wer ihn in seinen Bestrebungen nachdrücklich unterstützt. Bestrebungen im Sinne des § 3 Absatz 1 können auch von Einzelpersonen ausgehen, die nicht in einem oder für einen Personenzusammenschluss handeln. In diesem Fall gilt Satz 1 mit der Maßgabe, dass die Verhaltensweise der Einzelperson darauf gerichtet sein muss, die dort genannten Ziele zu verwirklichen. Voraussetzung für die Sammlung und Auswertung von Informationen im Sinne des § 3 Abs. 1 ist das Vorliegen tatsächlicher Anhaltspunkte.</w:t>
      </w:r>
    </w:p>
    <w:p>
      <w:r>
        <w:t xml:space="preserve">(2) Zur freiheitlichen demokratischen Grundordnung im Sinne dieses Gesetzes zählen:</w:t>
      </w:r>
    </w:p>
    <w:p>
      <w:pPr>
        <w:ind w:left="420"/>
      </w:pPr>
      <w:r>
        <w:t xml:space="preserve">a) das Recht des Volkes, die Staatsgewalt in Wahlen und Abstimmungen und durch besondere Organe der Gesetzgebung, der vollziehenden Gewalt und der Rechtsprechung auszuüben und die Volksvertretung in allgemeiner, unmittelbarer, freier, gleicher und geheimer Wahl zu wählen,</w:t>
      </w:r>
    </w:p>
    <w:p>
      <w:pPr>
        <w:ind w:left="420"/>
      </w:pPr>
      <w:r>
        <w:t xml:space="preserve">b) die Bindung der Gesetzgebung an die verfassungsmäßige Ordnung und die Bindung der vollziehenden Gewalt und der Rechtsprechung an Gesetz und Recht,</w:t>
      </w:r>
    </w:p>
    <w:p>
      <w:pPr>
        <w:ind w:left="420"/>
      </w:pPr>
      <w:r>
        <w:t xml:space="preserve">c) das Recht auf Bildung und Ausübung einer parlamentarischen Opposition,</w:t>
      </w:r>
    </w:p>
    <w:p>
      <w:pPr>
        <w:ind w:left="420"/>
      </w:pPr>
      <w:r>
        <w:t xml:space="preserve">d) die Ablösbarkeit der Regierung und ihre Verantwortlichkeit gegenüber der Volksvertretung,</w:t>
      </w:r>
    </w:p>
    <w:p>
      <w:pPr>
        <w:ind w:left="420"/>
      </w:pPr>
      <w:r>
        <w:t xml:space="preserve">e) die Unabhängigkeit der Gerichte,</w:t>
      </w:r>
    </w:p>
    <w:p>
      <w:pPr>
        <w:ind w:left="420"/>
      </w:pPr>
      <w:r>
        <w:t xml:space="preserve">f) der Ausschluß jeder Gewalt- und Willkürherrschaft und</w:t>
      </w:r>
    </w:p>
    <w:p>
      <w:pPr>
        <w:ind w:left="420"/>
      </w:pPr>
      <w:r>
        <w:t xml:space="preserve">g) die im Grundgesetz konkretisierten Menschenrechte.</w:t>
      </w:r>
    </w:p>
    <w:p>
      <w:r>
        <w:rPr>
          <w:color w:val="555555"/>
          <w:sz w:val="17"/>
        </w:rPr>
        <w:t xml:space="preserve">Zitiervorschlag: § 4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