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BVerfSchG — Übermittlung durch Landesverfassungsschutzbehörden an Strafverfolgungs- und Sicherheitsbehörden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Die Verfassungsschutzbehörden der Länder übermitteln den Staatsanwaltschaften und, vorbehaltlich der staatsanwaltschaftlichen Sachleitungsbefugnis, den Polizeien personenbezogene Daten unter den Voraussetzungen des § 19 Absatz 1 Satz 2 und des § 21. Auf die Übermittlung von Informationen zwischen Behörden desselben Bundeslandes findet Satz 1 keine Anwendung.</w:t>
      </w:r>
    </w:p>
    <w:p>
      <w:r>
        <w:t xml:space="preserve">(2) Die Verfassungsschutzbehörden der Länder übermitteln dem Bundesnachrichtendienst personenbezogene Daten unter den Voraussetzungen des § 22 Absatz 2.</w:t>
      </w:r>
    </w:p>
    <w:p>
      <w:r>
        <w:rPr>
          <w:color w:val="555555"/>
          <w:sz w:val="17"/>
        </w:rPr>
        <w:t xml:space="preserve">Zitiervorschlag: § 26a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