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25c BVerfSchG — Weitere Verfahrensregelungen</w:t>
      </w:r>
    </w:p>
    <w:p>
      <w:r>
        <w:rPr>
          <w:color w:val="555555"/>
          <w:sz w:val="18"/>
        </w:rPr>
        <w:t xml:space="preserve">Bundesverfassungsschutzgesetz</w:t>
      </w:r>
    </w:p>
    <w:p>
      <w:r>
        <w:rPr>
          <w:color w:val="555555"/>
          <w:sz w:val="18"/>
        </w:rPr>
        <w:t xml:space="preserve">Stand: 01.01.2025 (konsolidierte Textfassung, kein amtliches Inkrafttretensdatum)</w:t>
      </w:r>
    </w:p>
    <w:p>
      <w:r>
        <w:t xml:space="preserve">(1) Das Bundesamt für Verfassungsschutz protokolliert den Empfänger, die Rechtsgrundlage sowie den Zeitpunkt der Übermittlung. Die Protokolldaten müssen danach auswertbar sein, ob die Übermittlung nach den §§ 19, 20, 21, 22, 22a oder § 25a erfolgt ist. Das Bundesamt für Verfassungsschutz darf Protokolldaten, die ausschließlich zu Zwecken der Datenschutzkontrolle gespeichert werden, nur für diesen Zweck verarbeiten. Die Protokolldaten sind bis zum Ablauf des zweiten Kalenderjahres, das auf das Kalenderjahr der Protokollierung folgt, aufzubewahren und nach Ablauf dieser Aufbewahrungsfrist unverzüglich zu löschen.</w:t>
      </w:r>
    </w:p>
    <w:p>
      <w:r>
        <w:t xml:space="preserve">(2) Sind mit personenbezogenen Daten, die übermittelt werden dürfen, weitere Daten der betroffenen Person oder eines Dritten so verbunden, dass eine Trennung nicht oder nur mit unverhältnismäßigem Aufwand möglich ist, ist die Übermittlung auch dieser Daten zulässig, soweit nicht berechtigte Interessen der betroffenen Person oder eines Dritten an der Geheimhaltung offensichtlich überwiegen. Der Empfänger darf diese Daten nicht nutzen.</w:t>
      </w:r>
    </w:p>
    <w:p>
      <w:r>
        <w:t xml:space="preserve">(3) Eine Übermittlung an nichtöffentliche Stellen bedarf der Zustimmung der Amtsleitung des Bundesamtes für Verfassungsschutz. Für Übermittlungen an inländische nichtöffentliche Stellen kann die Zustimmung auch allgemein für gleichgelagerte Fälle erfolgen. Die Übermittlung ist dem Betroffenen durch das Bundesamt für Verfassungsschutz mitzuteilen, sobald eine Gefährdung seiner Aufgabenerfüllung durch die Mitteilung nicht mehr zu besorgen ist.</w:t>
      </w:r>
    </w:p>
    <w:p>
      <w:r>
        <w:rPr>
          <w:color w:val="555555"/>
          <w:sz w:val="17"/>
        </w:rPr>
        <w:t xml:space="preserve">Zitiervorschlag: § 25c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