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BVerfSchG — Übermittlungsverbot</w:t>
      </w:r>
    </w:p>
    <w:p>
      <w:r>
        <w:rPr>
          <w:color w:val="555555"/>
          <w:sz w:val="18"/>
        </w:rPr>
        <w:t xml:space="preserve">Bundesverfassungsschutzgesetz</w:t>
      </w:r>
    </w:p>
    <w:p>
      <w:r>
        <w:rPr>
          <w:color w:val="555555"/>
          <w:sz w:val="18"/>
        </w:rPr>
        <w:t xml:space="preserve">Stand: 06.01.2024 (konsolidierte Textfassung, kein amtliches Inkrafttretensdatum)</w:t>
      </w:r>
    </w:p>
    <w:p>
      <w:r>
        <w:t xml:space="preserve">(1) Personenbezogene Daten dürfen nicht nach den §§ 19 bis 22a übermittelt werden, wenn</w:t>
      </w:r>
    </w:p>
    <w:p>
      <w:pPr>
        <w:ind w:left="420"/>
      </w:pPr>
      <w:r>
        <w:t xml:space="preserve">1. besondere gesetzliche Verarbeitungsregelungen entgegenstehen,</w:t>
      </w:r>
    </w:p>
    <w:p>
      <w:pPr>
        <w:ind w:left="420"/>
      </w:pPr>
      <w:r>
        <w:t xml:space="preserve">2. die schutzwürdigen Interessen der betroffenen Person das Allgemeininteresse an der Übermittlung überwiegen unter Berücksichtigung</w:t>
      </w:r>
    </w:p>
    <w:p>
      <w:pPr>
        <w:ind w:left="780"/>
      </w:pPr>
      <w:r>
        <w:t xml:space="preserve">a) der Art der Information,</w:t>
      </w:r>
    </w:p>
    <w:p>
      <w:pPr>
        <w:ind w:left="780"/>
      </w:pPr>
      <w:r>
        <w:t xml:space="preserve">b) ihrer Wertigkeit, auch unter Berücksichtigung eines vergangenen Zeitraums und des Alters der betroffenen Person, insbesondere bei Minderjährigen,</w:t>
      </w:r>
    </w:p>
    <w:p>
      <w:pPr>
        <w:ind w:left="780"/>
      </w:pPr>
      <w:r>
        <w:t xml:space="preserve">c) der Art der Erhebung, insbesondere im Falle des § 8 Absatz 2,</w:t>
      </w:r>
    </w:p>
    <w:p>
      <w:pPr>
        <w:ind w:left="780"/>
      </w:pPr>
      <w:r>
        <w:t xml:space="preserve">d) drohender, insbesondere verdachtsgegründeter Anschlussmaßnahmen,</w:t>
      </w:r>
    </w:p>
    <w:p>
      <w:pPr>
        <w:ind w:left="780"/>
      </w:pPr>
      <w:r>
        <w:t xml:space="preserve">e) der Verfügbarkeit vorherigen Rechtsschutzes gegen drohende Folgemaßnahmen,</w:t>
      </w:r>
    </w:p>
    <w:p>
      <w:pPr>
        <w:ind w:left="420"/>
      </w:pPr>
      <w:r>
        <w:t xml:space="preserve">3. durch die Übermittlung der personenbezogenen Daten eine dringende Gefahr für ein Schutzgut nach § 19 Absatz 3 Nummer 4 zu besorgen ist; dies gilt nicht, wenn die Übermittlung dem Schutz solcher Rechtsgüter dient und dieses Schutzinteresse überwiegt, oder</w:t>
      </w:r>
    </w:p>
    <w:p>
      <w:pPr>
        <w:ind w:left="420"/>
      </w:pPr>
      <w:r>
        <w:t xml:space="preserve">4. sonstige überwiegende Sicherheitsinteressen der Übermittlung entgegenstehen; dies ist nicht der Fall, wenn die Übermittlung unerlässlich ist zur</w:t>
      </w:r>
    </w:p>
    <w:p>
      <w:pPr>
        <w:ind w:left="780"/>
      </w:pPr>
      <w:r>
        <w:t xml:space="preserve">a) Abwehr einer gegenwärtigen Gefahr für die Schutzgüter nach § 19 Absatz 3,</w:t>
      </w:r>
    </w:p>
    <w:p>
      <w:pPr>
        <w:ind w:left="780"/>
      </w:pPr>
      <w:r>
        <w:t xml:space="preserve">b) Verfolgung einer auch im Einzelfall besonders schwerwiegenden Straftat, die im Höchstmaß mit einer Freiheitsstrafe von mindestens zehn Jahren bedroht ist.</w:t>
      </w:r>
    </w:p>
    <w:p>
      <w:r>
        <w:t xml:space="preserve">Die Verpflichtung zur Wahrung gesetzlicher Geheimhaltungspflichten bleibt unberührt.</w:t>
      </w:r>
    </w:p>
    <w:p>
      <w:r>
        <w:t xml:space="preserve">(2) Das Bundesministerium des Innern und für Heimat unterrichtet das Parlamentarische Kontrollgremium mindestens einmal im Jahr über die Fälle des Absatzes 1 Satz 1 Nummer 4.</w:t>
      </w:r>
    </w:p>
    <w:p>
      <w:r>
        <w:rPr>
          <w:color w:val="555555"/>
          <w:sz w:val="17"/>
        </w:rPr>
        <w:t xml:space="preserve">Zitiervorschlag: § 23 BVerfSchG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https://recht.nulegal.eu/gesetze/BVerfSchG/23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