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22d BVerfSchG — Teilnahme an gemeinsamen Dateien mit ausländischen Nachrichtendiensten</w:t>
      </w:r>
    </w:p>
    <w:p>
      <w:r>
        <w:rPr>
          <w:color w:val="555555"/>
          <w:sz w:val="18"/>
        </w:rPr>
        <w:t xml:space="preserve">Bundesverfassungsschutzgesetz</w:t>
      </w:r>
    </w:p>
    <w:p>
      <w:r>
        <w:rPr>
          <w:color w:val="555555"/>
          <w:sz w:val="18"/>
        </w:rPr>
        <w:t xml:space="preserve">Stand: 09.07.2024 (konsolidierte Textfassung, kein amtliches Inkrafttretensdatum)</w:t>
      </w:r>
    </w:p>
    <w:p>
      <w:r>
        <w:t xml:space="preserve">Das Bundesamt für Verfassungsschutz darf an gemeinsamen Dateien, die von ausländischen Nachrichtendiensten errichtet sind, teilnehmen. § 22c Absatz 1 bis 4 und 6 gilt entsprechend. Dabei gilt § 22c Absatz 1 Nummer 3 mit der Maßgabe, dass verlässlich zuzusagen ist, dass</w:t>
      </w:r>
    </w:p>
    <w:p>
      <w:pPr>
        <w:ind w:left="420"/>
      </w:pPr>
      <w:r>
        <w:t xml:space="preserve">1. die vom Bundesamt für Verfassungsschutz eingegebenen Daten ohne dessen Zustimmung nicht an Dritte übermittelt werden dürfen und nur zu dem Zweck verwendet werden dürfen, zu dem sie in die Datei eingegeben wurden, und</w:t>
      </w:r>
    </w:p>
    <w:p>
      <w:pPr>
        <w:ind w:left="420"/>
      </w:pPr>
      <w:r>
        <w:t xml:space="preserve">2. das Bundesamt für Verfassungsschutz auf Ersuchen Auskunft über die vorgenommene Verwendung der Daten erhält.</w:t>
      </w:r>
    </w:p>
    <w:p>
      <w:r>
        <w:t xml:space="preserve">Das Bundesamt für Verfassungsschutz erteilt über die von ihm eingegebenen Daten entsprechend § 15 Auskunft.</w:t>
      </w:r>
    </w:p>
    <w:p>
      <w:r>
        <w:rPr>
          <w:color w:val="555555"/>
          <w:sz w:val="17"/>
        </w:rPr>
        <w:t xml:space="preserve">Zitiervorschlag: § 22d BVerfSchG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https://recht.nulegal.eu/gesetze/BVerfSchG/22d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