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BVerfSchG — Errichtung gemeinsamer Dateien mit ausländischen Nachrichtendiensten</w:t>
      </w:r>
    </w:p>
    <w:p>
      <w:r>
        <w:rPr>
          <w:color w:val="555555"/>
          <w:sz w:val="18"/>
        </w:rPr>
        <w:t xml:space="preserve">Bundesverfassungsschutzgesetz</w:t>
      </w:r>
    </w:p>
    <w:p>
      <w:r>
        <w:rPr>
          <w:color w:val="555555"/>
          <w:sz w:val="18"/>
        </w:rPr>
        <w:t xml:space="preserve">Stand: 09.07.2024 (konsolidierte Textfassung, kein amtliches Inkrafttretensdatum)</w:t>
      </w:r>
    </w:p>
    <w:p>
      <w:r>
        <w:t xml:space="preserve">(1) Das Bundesamt für Verfassungsschutz kann für die Zusammenarbeit mit ausländischen öffentlichen Stellen, die mit nachrichtendienstlichen Aufgaben betraut sind (ausländische Nachrichtendienste), zur Erforschung von Bestrebungen oder Tätigkeiten, die sich auf bestimmte Ereignisse oder Personenkreise beziehen, gemeinsame Dateien einrichten, wenn</w:t>
      </w:r>
    </w:p>
    <w:p>
      <w:pPr>
        <w:ind w:left="420"/>
      </w:pPr>
      <w:r>
        <w:t xml:space="preserve">1. die Erforschung von erheblichem Sicherheitsinteresse für die Bundesrepublik Deutschland und den jeweils teilnehmenden Staat ist,</w:t>
      </w:r>
    </w:p>
    <w:p>
      <w:pPr>
        <w:ind w:left="420"/>
      </w:pPr>
      <w:r>
        <w:t xml:space="preserve">2. in den teilnehmenden Staaten die Einhaltung grundlegender rechtsstaatlicher Prinzipien gewährleistet ist,</w:t>
      </w:r>
    </w:p>
    <w:p>
      <w:pPr>
        <w:ind w:left="420"/>
      </w:pPr>
      <w:r>
        <w:t xml:space="preserve">3. die Festlegungen und Zusagen nach Absatz 5 Satz 1 verlässlich sind und</w:t>
      </w:r>
    </w:p>
    <w:p>
      <w:pPr>
        <w:ind w:left="420"/>
      </w:pPr>
      <w:r>
        <w:t xml:space="preserve">4. das Bundesministerium des Innern, für Bau und Heimat zugestimmt hat.</w:t>
      </w:r>
    </w:p>
    <w:p>
      <w:r>
        <w:t xml:space="preserve">(2) Der Nachrichtendienst eines Staates, der weder unmittelbar an die Bundesrepublik Deutschland angrenzt noch Mitgliedstaat der Europäischen Union oder des Nordatlantikvertrages ist, kann darüber hinaus nur teilnehmen, wenn besondere Sicherheitsinteressen dies erfordern. Dies ist der Fall, wenn Bestrebungen oder Tätigkeiten erforscht werden, die auf die Begehung von schwerwiegenden Straftaten gegen den Bestand oder die Sicherheit eines Staates oder einer internationalen Organisation gerichtet sind. Schwerwiegende Straftaten sind die in § 3 Absatz 1 des Artikel 10-Gesetzes genannten Straftaten. Die Teilnahme eines solchen ausländischen Nachrichtendienstes bedarf der Zustimmung der Bundesministerin oder des Bundesministers des Innern, für Bau und Heimat.</w:t>
      </w:r>
    </w:p>
    <w:p>
      <w:r>
        <w:t xml:space="preserve">(3) Die Datei dient der Feststellung, ob zu Personen, Objekten oder Ereignissen bei einem der beteiligten Nachrichtendienste Informationen vorhanden sind. Hierzu kann die Datei solche personenbezogene Daten enthalten, die zum Auffinden der Informationen und der dazu notwendigen Identifizierung von Personen erforderlich sind. Im Falle eines Treffers wird lediglich derjenige ausländische Nachrichtendienst angezeigt, der die Daten eingegeben hat.</w:t>
      </w:r>
    </w:p>
    <w:p>
      <w:r>
        <w:t xml:space="preserve">(4) Die Datei kann auch dem Austausch und der gemeinsamen Auswertung von Informationen und Erkenntnissen dienen, wenn dies zur Wahrung besonderer Sicherheitsinteressen (Absatz 2 Satz 2) erforderlich ist. Hierzu kann sie die zur Erforschung und Bewertung solcher Bestrebungen oder Tätigkeiten erforderlichen Daten enthalten und zu diesem Zweck genutzt werden.</w:t>
      </w:r>
    </w:p>
    <w:p>
      <w:r>
        <w:t xml:space="preserve">(5) Die Ziele der Zusammenarbeit und das Nähere der Datenverwendung sind vor Beginn der Zusammenarbeit zwischen den teilnehmenden Nachrichtendiensten zur Gewährleistung eines angemessenen Datenschutzniveaus und zum Ausschluss unangemessener Verwendung schriftlich festzulegen, insbesondere:</w:t>
      </w:r>
    </w:p>
    <w:p>
      <w:pPr>
        <w:ind w:left="420"/>
      </w:pPr>
      <w:r>
        <w:t xml:space="preserve">1. Zweck der Datei,</w:t>
      </w:r>
    </w:p>
    <w:p>
      <w:pPr>
        <w:ind w:left="420"/>
      </w:pPr>
      <w:r>
        <w:t xml:space="preserve">2. Voraussetzungen der Verwendungen von Daten,</w:t>
      </w:r>
    </w:p>
    <w:p>
      <w:pPr>
        <w:ind w:left="420"/>
      </w:pPr>
      <w:r>
        <w:t xml:space="preserve">3. Prüfung und erforderlichenfalls unverzügliche Änderung, Berichtigung und Löschung von Daten,</w:t>
      </w:r>
    </w:p>
    <w:p>
      <w:pPr>
        <w:ind w:left="420"/>
      </w:pPr>
      <w:r>
        <w:t xml:space="preserve">4. Zusage,</w:t>
      </w:r>
    </w:p>
    <w:p>
      <w:pPr>
        <w:ind w:left="780"/>
      </w:pPr>
      <w:r>
        <w:t xml:space="preserve">a) die Daten ohne Zustimmung des eingebenden Nachrichtendienstes nicht für einen anderen Zweck als den nach Nummer 1 zu verwenden oder an Dritte zu übermitteln,</w:t>
      </w:r>
    </w:p>
    <w:p>
      <w:pPr>
        <w:ind w:left="780"/>
      </w:pPr>
      <w:r>
        <w:t xml:space="preserve">b) Auskunft über die Verwendung der Daten zu geben, die vom Auskunft erbittenden Nachrichtendienst eingegeben worden sind.</w:t>
      </w:r>
    </w:p>
    <w:p>
      <w:r>
        <w:t xml:space="preserve">§ 14 gilt mit der Maßgabe, dass die Festlegungen auf das Bundesamt für Verfassungsschutz beschränkt sind und der Dateianordnung die Festlegung nach Satz 1 als Anlage beizufügen ist.</w:t>
      </w:r>
    </w:p>
    <w:p>
      <w:r>
        <w:t xml:space="preserve">(6) Das Bundesamt für Verfassungsschutz darf personenbezogene Daten in der gemeinsamen Datei entsprechend § 10 Absatz 1 und 3, § 11 Absatz 1 eingeben, wenn es die Daten allen teilnehmenden ausländischen Nachrichtendiensten übermitteln darf. Für die vom Bundesamt für Verfassungsschutz eingegebenen Daten gelten für die Veränderung und Nutzung § 10 Absatz 1 und § 11 Absatz 1 und für die Überprüfung, Berichtigung, Löschung und Sperrung § 11 Absatz 2 und § 12 Absatz 1 bis 3 entsprechend. Für die Verantwortung des an der Datei teilnehmenden Nachrichtendienstes gilt § 6 Absatz 2 Satz 5 und 6 entsprechend.</w:t>
      </w:r>
    </w:p>
    <w:p>
      <w:r>
        <w:t xml:space="preserve">(7) Das Bundesamt für Verfassungsschutz trifft für die Dateien die technischen und organisatorischen Maßnahmen entsprechend § 64 des Bundesdatenschutzgesetzes. § 6 Absatz 3 Satz 2 bis 5 und § 28 gelten nur für die vom Bundesamt für Verfassungsschutz eingegebenen Daten sowie dessen Abrufe. Das Bundesamt für Verfassungsschutz erteilt dem Betroffenen entsprechend § 15 Auskunft nur zu den vom Bundesamt für Verfassungsschutz eingegebenen Daten.</w:t>
      </w:r>
    </w:p>
    <w:p>
      <w:r>
        <w:rPr>
          <w:color w:val="555555"/>
          <w:sz w:val="17"/>
        </w:rPr>
        <w:t xml:space="preserve">Zitiervorschlag: § 22c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