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BVerfSchG — Dateianordnungen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Für jede automatisierte Datei beim Bundesamt für Verfassungsschutz nach § 6 oder § 10 sind in einer Dateianordnung, die der Zustimmung des Bundesministeriums des Innern, für Bau und Heimat bedarf, festzulegen:</w:t>
      </w:r>
    </w:p>
    <w:p>
      <w:pPr>
        <w:ind w:left="420"/>
      </w:pPr>
      <w:r>
        <w:t xml:space="preserve">1. Bezeichnung der Datei,</w:t>
      </w:r>
    </w:p>
    <w:p>
      <w:pPr>
        <w:ind w:left="420"/>
      </w:pPr>
      <w:r>
        <w:t xml:space="preserve">2. Zweck der Datei,</w:t>
      </w:r>
    </w:p>
    <w:p>
      <w:pPr>
        <w:ind w:left="420"/>
      </w:pPr>
      <w:r>
        <w:t xml:space="preserve">3. Voraussetzungen der Speicherung, Übermittlung und Nutzung (betroffener Personenkreis, Arten der Daten),</w:t>
      </w:r>
    </w:p>
    <w:p>
      <w:pPr>
        <w:ind w:left="420"/>
      </w:pPr>
      <w:r>
        <w:t xml:space="preserve">4. Anlieferung oder Eingabe,</w:t>
      </w:r>
    </w:p>
    <w:p>
      <w:pPr>
        <w:ind w:left="420"/>
      </w:pPr>
      <w:r>
        <w:t xml:space="preserve">5. Zugangsberechtigung,</w:t>
      </w:r>
    </w:p>
    <w:p>
      <w:pPr>
        <w:ind w:left="420"/>
      </w:pPr>
      <w:r>
        <w:t xml:space="preserve">6. Überprüfungsfristen, Speicherungsdauer,</w:t>
      </w:r>
    </w:p>
    <w:p>
      <w:pPr>
        <w:ind w:left="420"/>
      </w:pPr>
      <w:r>
        <w:t xml:space="preserve">7. Protokollierung.</w:t>
      </w:r>
    </w:p>
    <w:p>
      <w:r>
        <w:t xml:space="preserve">Der Bundesbeauftragte für den Datenschutz und die Informationsfreiheit ist vor Erlaß einer Dateianordnung anzuhören. Das Bundesamt für Verfassungsschutz führt ein Verzeichnis der geltenden Dateianordnungen.</w:t>
      </w:r>
    </w:p>
    <w:p>
      <w:r>
        <w:t xml:space="preserve">(2) Die Speicherung personenbezogener Daten ist auf das erforderliche Maß zu beschränken. In angemessenen Abständen ist die Notwendigkeit der Weiterführung oder Änderung der Dateien zu überprüfen.</w:t>
      </w:r>
    </w:p>
    <w:p>
      <w:r>
        <w:t xml:space="preserve">(3) Ist im Hinblick auf die Dringlichkeit der Aufgabenerfüllung die vorherige Mitwirkung der in Absatz 1 genannten Stellen nicht möglich, so kann das Bundesamt für Verfassungsschutz eine Sofortanordnung treffen. Das Verfahren nach Absatz 1 ist unverzüglich nachzuholen.</w:t>
      </w:r>
    </w:p>
    <w:p>
      <w:r>
        <w:rPr>
          <w:color w:val="555555"/>
          <w:sz w:val="17"/>
        </w:rPr>
        <w:t xml:space="preserve">Zitiervorschlag: § 14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