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BVerfSchG — Verwendung und Berichtigung personenbezogener Daten in Akten</w:t>
      </w:r>
    </w:p>
    <w:p>
      <w:r>
        <w:rPr>
          <w:color w:val="555555"/>
          <w:sz w:val="18"/>
        </w:rPr>
        <w:t xml:space="preserve">Bundesverfassungsschutzgesetz</w:t>
      </w:r>
    </w:p>
    <w:p>
      <w:r>
        <w:rPr>
          <w:color w:val="555555"/>
          <w:sz w:val="18"/>
        </w:rPr>
        <w:t xml:space="preserve">Stand: 10.07.2021 (konsolidierte Textfassung, kein amtliches Inkrafttretensdatum)</w:t>
      </w:r>
    </w:p>
    <w:p>
      <w:r>
        <w:t xml:space="preserve">(1) Stellt das Bundesamt für Verfassungsschutz fest, daß in Akten gespeicherte personenbezogene Daten unrichtig sind oder wird ihre Richtigkeit von dem Betroffenen bestritten, so ist dies in der Akte zu vermerken oder auf sonstige Weise festzuhalten.</w:t>
      </w:r>
    </w:p>
    <w:p>
      <w:r>
        <w:t xml:space="preserve">(2) Das Bundesamt für Verfassungsschutz hat die Verarbeitung personenbezogener Daten einzuschränken, wenn es im Einzelfall feststellt, dass ohne die Einschränkung schutzwürdige Interessen des Betroffenen beeinträchtigt würden und die Daten für seine künftige Aufgabenerfüllung nicht mehr erforderlich sind. Verarbeitungseingeschränkte Daten sind mit einem entsprechenden Vermerk zu versehen; sie dürfen nicht mehr genutzt oder übermittelt werden. Eine Aufhebung der Einschränkung ist möglich, wenn ihre Voraussetzungen nachträglich entfallen.</w:t>
      </w:r>
    </w:p>
    <w:p>
      <w:r>
        <w:t xml:space="preserve">(3) Eine Akte ist zu vernichten, wenn sie insgesamt zur Erfüllung der Aufgaben des Bundesamtes für Verfassungsschutz nicht oder nicht mehr erforderlich ist. Die Erforderlichkeit ist bei der Einzelfallbearbeitung und nach festgesetzten Fristen, spätestens nach fünf Jahren, zu prüfen. Für die Vernichtung einer Akte, die zu einer Person im Sinne des § 10 Absatz 1 Nummer 1 geführt wird, gilt § 12 Absatz 3 Satz 2 entsprechend. Eine Vernichtung unterbleibt, wenn Grund zu der Annahme besteht, dass durch sie schutzwürdige Interessen des Betroffenen beeinträchtigt würden. In diesem Fall ist die Verarbeitung der in der Akte gespeicherten personenbezogenen Daten einzuschränken und mit einem entsprechenden Vermerk zu versehen. Sie dürfen nur für die Interessen nach Satz 4 verarbeitet werden oder wenn es zur Abwehr einer erheblichen Gefahr unerlässlich ist. Eine Vernichtung der Akte erfolgt nicht, wenn sie nach den Vorschriften des Bundesarchivgesetzes dem Bundesarchiv zur Übernahme anzubieten und zu übergeben ist.</w:t>
      </w:r>
    </w:p>
    <w:p>
      <w:r>
        <w:t xml:space="preserve">(4) Akten oder Auszüge aus Akten dürfen auch in elektronischer Form geführt werden. Insoweit kommen die Regelungen über die Verwendung und Berichtigung personenbezogener Daten in Akten zur Anwendung. Eine Abfrage personenbezogener Daten ist insoweit nur zulässig, wenn die Voraussetzungen des § 10 Absatz 1 Nummer 1 oder Nummer 2 vorliegen und die Person das 14. Lebensjahr vollendet hat. Der automatisierte Abgleich dieser personenbezogenen Daten ist nur beschränkt auf Akten eng umgrenzter Anwendungsgebiete zulässig. Bei jeder Abfrage sind für Zwecke der Datenschutzkontrolle der Zeitpunkt, die Angaben, die die Feststellung der abgefragten Daten ermöglichen, sowie Angaben zur Feststellung des Abfragenden zu protokollieren. Die protokollierten Daten dürfen nur für Zwecke der Datenschutzkontrolle, der Datensicherung oder zur Sicherstellung eines ordnungsgemäßen Betriebs der Datenverarbeitungsanlage verwendet werden. Die Protokolldaten sind am Ende des Kalenderjahres, das dem Jahr der Protokollierung folgt, zu löschen.</w:t>
      </w:r>
    </w:p>
    <w:p>
      <w:r>
        <w:rPr>
          <w:color w:val="555555"/>
          <w:sz w:val="17"/>
        </w:rPr>
        <w:t xml:space="preserve">Zitiervorschlag: § 13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