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BVerfSchG — Berichtigung, Löschung und Verarbeitungseinschränkung personenbezogener Daten in Dateien</w:t>
      </w:r>
    </w:p>
    <w:p>
      <w:r>
        <w:rPr>
          <w:color w:val="555555"/>
          <w:sz w:val="18"/>
        </w:rPr>
        <w:t xml:space="preserve">Bundesverfassungsschutzgesetz</w:t>
      </w:r>
    </w:p>
    <w:p>
      <w:r>
        <w:rPr>
          <w:color w:val="555555"/>
          <w:sz w:val="18"/>
        </w:rPr>
        <w:t xml:space="preserve">Stand: 10.06.2019 (konsolidierte Textfassung, kein amtliches Inkrafttretensdatum)</w:t>
      </w:r>
    </w:p>
    <w:p>
      <w:r>
        <w:t xml:space="preserve">(1) Das Bundesamt für Verfassungsschutz hat die in Dateien gespeicherten personenbezogenen Daten zu berichtigen, wenn sie unrichtig sind.</w:t>
      </w:r>
    </w:p>
    <w:p>
      <w:r>
        <w:t xml:space="preserve">(2) Das Bundesamt für Verfassungsschutz hat die in Dateien gespeicherten personenbezogenen Daten zu löschen, wenn ihre Speicherung unzulässig war oder ihre Kenntnis für die Aufgabenerfüllung nicht mehr erforderlich ist. Die Löschung unterbleibt, wenn Grund zu der Annahme besteht, daß durch sie schutzwürdige Interessen des Betroffenen beeinträchtigt würden. In diesem Falle ist die Verarbeitung einzuschränken. Sie dürfen nur noch mit Einwilligung des Betroffenen übermittelt werden.</w:t>
      </w:r>
    </w:p>
    <w:p>
      <w:r>
        <w:t xml:space="preserve">(3) Das Bundesamt für Verfassungsschutz prüft bei der Einzelfallbearbeitung und nach festgesetzten Fristen, spätestens nach fünf Jahren, ob gespeicherte personenbezogene Daten zu berichtigen oder zu löschen sind. Gespeicherte personenbezogene Daten über Bestrebungen nach § 3 Absatz 1 Nummer 1, 3 und 4 sind spätestens zehn Jahre nach dem Zeitpunkt der letzten gespeicherten relevanten Information zu löschen, es sei denn, die zuständige Abteilungsleitung oder deren Vertretung trifft im Einzelfall ausnahmsweise eine andere Entscheidung.</w:t>
      </w:r>
    </w:p>
    <w:p>
      <w:r>
        <w:t xml:space="preserve">(4) Personenbezogene Daten, die ausschließlich zu Zwecken der Datenschutzkontrolle, der Datensicherung oder zur Sicherstellung eines ordnungsgemäßen Betriebes einer Datenverarbeitungsanlage gespeichert werden, dürfen nur für diese Zwecke verwendet werden.</w:t>
      </w:r>
    </w:p>
    <w:p>
      <w:r>
        <w:rPr>
          <w:color w:val="555555"/>
          <w:sz w:val="17"/>
        </w:rPr>
        <w:t xml:space="preserve">Zitiervorschlag: § 12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