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BVerfSchG — Zusammenarbeitspflicht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Verfassungsschutz dient dem Schutz der freiheitlichen demokratischen Grundordnung, des Bestandes und der Sicherheit des Bundes und der Länder.</w:t>
      </w:r>
    </w:p>
    <w:p>
      <w:r>
        <w:t xml:space="preserve">(2) Der Bund und die Länder sind verpflichtet, in Angelegenheiten des Verfassungsschutzes zusammenzuarbeiten.</w:t>
      </w:r>
    </w:p>
    <w:p>
      <w:r>
        <w:t xml:space="preserve">(3) Die Zusammenarbeit besteht auch in gegenseitiger Unterstützung und Hilfeleistung.</w:t>
      </w:r>
    </w:p>
    <w:p>
      <w:r>
        <w:rPr>
          <w:color w:val="555555"/>
          <w:sz w:val="17"/>
        </w:rPr>
        <w:t xml:space="preserve">Zitiervorschlag: § 1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