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(XXXX) BVerfGGOBek15</w:t>
      </w:r>
    </w:p>
    <w:p>
      <w:r>
        <w:rPr>
          <w:color w:val="555555"/>
          <w:sz w:val="18"/>
        </w:rPr>
        <w:t xml:space="preserve">Bekanntmachung der Geschäftsordnung des Bundesverfassungsgerichts</w:t>
      </w:r>
    </w:p>
    <w:p>
      <w:r>
        <w:rPr>
          <w:color w:val="555555"/>
          <w:sz w:val="18"/>
        </w:rPr>
        <w:t xml:space="preserve">Stand: 07.10.2020 (konsolidierte Textfassung, kein amtliches Inkrafttretensdatum)</w:t>
      </w:r>
    </w:p>
    <w:p>
      <w:r>
        <w:t xml:space="preserve">Das Plenum des Bundesverfassungsgerichts hat sich durch Beschluss vom 19. November 2014 nachstehende Geschäftsordnung gegeben.</w:t>
      </w:r>
    </w:p>
    <w:p>
      <w:r>
        <w:rPr>
          <w:color w:val="555555"/>
          <w:sz w:val="17"/>
        </w:rPr>
        <w:t xml:space="preserve">Zitiervorschlag: (XXXX) BVerfGGOBek15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https://recht.nulegal.eu/gesetze/BVerfGGOBek15/(xxxx)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