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Der Antrag auf Änderung der Geschäftsordnung kann von jedem Mitglied des Gerichts gestellt werden. Der Antrag ist schriftlich zu stellen. Er muss die formulierte Textänderung und eine Begründung enthalten.</w:t>
      </w:r>
    </w:p>
    <w:p>
      <w:r>
        <w:t xml:space="preserve">(2) Zwischen Antrag und Beschlussfassung im Plenum soll mindestens eine Frist von einem Monat liegen.</w:t>
      </w:r>
    </w:p>
    <w:p>
      <w:r>
        <w:t xml:space="preserve">(3) Im Verteidigungsfall (Artikel 115a Absatz 1, Artikel 115g GG) kann die Geschäftsordnung mit der Mehrheit der anwesenden Richterinnen und Richter geändert werden, wenn dies zur Erhaltung der Arbeitsfähigkeit des Gerichts erforderlich ist.</w:t>
      </w:r>
    </w:p>
    <w:p>
      <w:r>
        <w:t xml:space="preserve">(4) Tritt eine Präsidentin, eine Vizepräsidentin oder eine Direktorin ihr Amt an, wird die Geschäftsordnung sprachlich entsprechend neu gefasst.</w:t>
      </w:r>
    </w:p>
    <w:p>
      <w:r>
        <w:rPr>
          <w:color w:val="555555"/>
          <w:sz w:val="17"/>
        </w:rPr>
        <w:t xml:space="preserve">Zitiervorschlag: § 71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