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Gerichts werden über alle wichtigen, das Gericht berührenden Vorgänge unterrichtet.</w:t>
      </w:r>
    </w:p>
    <w:p>
      <w:r>
        <w:t xml:space="preserve">(2) Bei Einladungen an das Gericht entscheidet in der Regel der Protokollausschuss, ob und durch wen sie wahrgenommen werden. Soweit der Präsident an seiner Stelle entscheidet, ist der Protokollausschuss zu unterrichten.</w:t>
      </w:r>
    </w:p>
    <w:p>
      <w:r>
        <w:t xml:space="preserve">(3) Für Besuche beim Gericht gilt Entsprechendes.</w:t>
      </w:r>
    </w:p>
    <w:p>
      <w:r>
        <w:rPr>
          <w:color w:val="555555"/>
          <w:sz w:val="17"/>
        </w:rPr>
        <w:t xml:space="preserve">Zitiervorschlag: § 7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