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69 BVerfGGO 2015</w:t>
      </w:r>
    </w:p>
    <w:p>
      <w:r>
        <w:rPr>
          <w:color w:val="555555"/>
          <w:sz w:val="18"/>
        </w:rPr>
        <w:t xml:space="preserve">Geschäftsordnung des Bundesverfassungsgerichts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Arbeit des Bundesverfassungsgerichts wird statistisch erfasst.</w:t>
      </w:r>
    </w:p>
    <w:p>
      <w:r>
        <w:t xml:space="preserve">(2) Die Geschäftslast des Gerichts wird monatlich in einer Statistik und am Ende des Geschäftsjahres in einer Gesamtstatistik dargestellt.</w:t>
      </w:r>
    </w:p>
    <w:p>
      <w:r>
        <w:rPr>
          <w:color w:val="555555"/>
          <w:sz w:val="17"/>
        </w:rPr>
        <w:t xml:space="preserve">Zitiervorschlag: § 69 BVerfGGO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https://recht.nulegal.eu/gesetze/BVerfGGO%202015/69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69 BVerfGGO 2015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