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BVerfGGO 2015</w:t>
      </w:r>
    </w:p>
    <w:p>
      <w:r>
        <w:rPr>
          <w:color w:val="555555"/>
          <w:sz w:val="18"/>
        </w:rPr>
        <w:t xml:space="preserve">Geschäftsordnung des Bundesverfassungsgerichts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Entscheidung darüber, ob ein Vorgang in das Allgemeine Register einzutragen ist, treffen die Vorsitzenden des jeweiligen Senats. Sie können die Entscheidungsbefugnis allgemein auf die gemäß § 16 zur Postauszeichnung berufenen Mitarbeiterinnen und Mitarbeiter übertragen.</w:t>
      </w:r>
    </w:p>
    <w:p>
      <w:r>
        <w:t xml:space="preserve">(2) Ein gemäß § 63 Absatz 2 Buchstabe a im Allgemeinen Register eingetragener Vorgang ist in das Verfahrensregister zu übertragen, wenn nach Unterrichtung über die Rechtslage eine richterliche Entscheidung begehrt wird.</w:t>
      </w:r>
    </w:p>
    <w:p>
      <w:r>
        <w:t xml:space="preserve">(3) Soll ein Vorgang aus dem Allgemeinen Register in das Verfahrensregister übertragen werden, so ist er der Referentin oder dem Referenten für das Allgemeine Register zuzuleiten.</w:t>
      </w:r>
    </w:p>
    <w:p>
      <w:r>
        <w:t xml:space="preserve">(4) Die Akten zu den im Allgemeinen Register eingetragenen Verfahren, die nicht in ein Verfahrensregister übertragen worden sind, werden nach Maßgabe des § 35b Absatz 7 BVerfGG fünf Jahre nach der letzten die Sache betreffenden Verfügung vernichtet. Die Vorgänge, die vor Inkrafttreten dieser Regelung eingegangen sind, werden grundsätzlich zehn Jahre nach Eingang vernichtet.</w:t>
      </w:r>
    </w:p>
    <w:p>
      <w:r>
        <w:rPr>
          <w:color w:val="555555"/>
          <w:sz w:val="17"/>
        </w:rPr>
        <w:t xml:space="preserve">Zitiervorschlag: § 64 BVerfGGO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https://recht.nulegal.eu/gesetze/BVerfGGO%202015/64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