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Stellungnahme nach § 97d Absatz 1 BVerfGG ist in der Regel erst nach Aufforderung durch das berichterstattende Mitglied der Beschwerdekammer vorzulegen. Es kann die Akten des Ausgangsverfahrens beiziehen, soweit die Akteneinsicht nicht nach § 34 ausgeschlossen ist.</w:t>
      </w:r>
    </w:p>
    <w:p>
      <w:r>
        <w:t xml:space="preserve">(2) Über die Akteneinsicht der Beteiligten entscheidet der oder die Vorsitzende der Beschwerdekammer im Einvernehmen mit dem berichterstattenden Mitglied.</w:t>
      </w:r>
    </w:p>
    <w:p>
      <w:r>
        <w:rPr>
          <w:color w:val="555555"/>
          <w:sz w:val="17"/>
        </w:rPr>
        <w:t xml:space="preserve">Zitiervorschlag: § 62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