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BVerfGGO 2015</w:t>
      </w:r>
    </w:p>
    <w:p>
      <w:r>
        <w:rPr>
          <w:color w:val="555555"/>
          <w:sz w:val="18"/>
        </w:rPr>
        <w:t xml:space="preserve">Geschäftsordnung des Bundesverfassungsgerichts</w:t>
      </w:r>
    </w:p>
    <w:p>
      <w:r>
        <w:rPr>
          <w:color w:val="555555"/>
          <w:sz w:val="18"/>
        </w:rPr>
        <w:t xml:space="preserve">Stand: 10.06.2019 (konsolidierte Textfassung, kein amtliches Inkrafttretensdatum)</w:t>
      </w:r>
    </w:p>
    <w:p>
      <w:r>
        <w:t xml:space="preserve">(1) Das Plenum beruft jedes Jahr je ein Mitglied des Gerichts aus jedem Senat und für dieses jeweils eine Vertretung für die Dauer von zwei Jahren in die Beschwerdekammer. Eine unmittelbar anschließende Wiederwahl ist unzulässig. Präsident oder Vizepräsident können in der Beschwerdekammer nicht mitwirken.</w:t>
      </w:r>
    </w:p>
    <w:p>
      <w:r>
        <w:t xml:space="preserve">(2) Für die erste im Jahre 2012 beginnende Amtsperiode bestimmt das Plenum aus jedem Senat je ein Mitglied des Gerichts, dessen Amtsdauer in der Beschwerdekammer drei Jahre beträgt; das gilt auch für die als deren Vertretung vorgesehenen beiden Mitglieder des Gerichts.</w:t>
      </w:r>
    </w:p>
    <w:p>
      <w:r>
        <w:rPr>
          <w:color w:val="555555"/>
          <w:sz w:val="17"/>
        </w:rPr>
        <w:t xml:space="preserve">Zitiervorschlag: § 59 BVerfGGO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https://recht.nulegal.eu/gesetze/BVerfGGO%202015/59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