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(1) Über die Wahlvorschläge wird nach Abschluss der Aussprache geheim abgestimmt. Die Beschlussfähigkeit richtet sich nach § 7a Absatz 2 Satz 3 in Verbindung mit § 16 Absatz 2 BVerfGG.</w:t>
      </w:r>
    </w:p>
    <w:p>
      <w:r>
        <w:t xml:space="preserve">(2) Im ersten Wahlgang wird unter Verwendung von Stimmzetteln abgestimmt, auf denen die Vorschläge in alphabetischer Folge aufgeführt sind. Jedes Mitglied des Gerichts hat so viele Stimmen, wie Vorschläge zu machen sind. Gewählt ist, wer mindestens die Mehrheit der abgegebenen Stimmen erhalten hat, und zwar in der Reihenfolge, die sich aus der Stimmenzahl ergibt.</w:t>
      </w:r>
    </w:p>
    <w:p>
      <w:r>
        <w:t xml:space="preserve">(3) Bleibt der erste Wahlgang ganz oder teilweise erfolglos, so wird einzeln in gesonderten Wahlgängen mit Stimmzetteln gewählt, auf die die Wahlberechtigten nur einen Namen setzen. Der Wahlakt wird so lange wiederholt, bis eine Mehrheit der abgegebenen Stimmen für einen Vorschlag vorliegt; bei jeder Wiederholung scheidet aus, wer im vorangegangenen Wahlgang die wenigsten Stimmen erhalten hat.</w:t>
      </w:r>
    </w:p>
    <w:p>
      <w:r>
        <w:rPr>
          <w:color w:val="555555"/>
          <w:sz w:val="17"/>
        </w:rPr>
        <w:t xml:space="preserve">Zitiervorschlag: § 57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