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BVerfGGO 2015</w:t>
      </w:r>
    </w:p>
    <w:p>
      <w:r>
        <w:rPr>
          <w:color w:val="555555"/>
          <w:sz w:val="18"/>
        </w:rPr>
        <w:t xml:space="preserve">Geschäftsordnung des Bundesverfassungsgerichts</w:t>
      </w:r>
    </w:p>
    <w:p>
      <w:r>
        <w:rPr>
          <w:color w:val="555555"/>
          <w:sz w:val="18"/>
        </w:rPr>
        <w:t xml:space="preserve">Stand: 10.06.2019 (konsolidierte Textfassung, kein amtliches Inkrafttretensdatum)</w:t>
      </w:r>
    </w:p>
    <w:p>
      <w:r>
        <w:t xml:space="preserve">(1) Der Präsident vertritt das Gericht nach außen. Die Vertretung übernimmt im Fall der Verhinderung der Vizepräsident und bei dessen Verhinderung das dienstälteste, bei gleichem Dienstalter das lebensälteste anwesende Mitglied des Gerichts.</w:t>
      </w:r>
    </w:p>
    <w:p>
      <w:r>
        <w:t xml:space="preserve">(2) Die Darlegung von Auffassungen des Gerichts und die Wahrnehmung seiner Interessen gegenüber dem Bundespräsidenten, dem Bundestag, dem Bundesrat, der Bundesregierung sowie deren Ausschüssen obliegt dem Präsidenten im Benehmen mit dem Vizepräsidenten. Sie können von anderen Richterinnen und Richtern vertreten oder unterstützt werden.</w:t>
      </w:r>
    </w:p>
    <w:p>
      <w:r>
        <w:rPr>
          <w:color w:val="555555"/>
          <w:sz w:val="17"/>
        </w:rPr>
        <w:t xml:space="preserve">Zitiervorschlag: § 5 BVerfGGO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https://recht.nulegal.eu/gesetze/BVerfGGO%202015/5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