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BVerfGGO 2015</w:t>
      </w:r>
    </w:p>
    <w:p>
      <w:r>
        <w:rPr>
          <w:color w:val="555555"/>
          <w:sz w:val="18"/>
        </w:rPr>
        <w:t xml:space="preserve">Geschäftsordnung des Bundesverfassungsgerichts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Einleitung des Verfahrens gemäß § 105 Absatz 1 BVerfGG kann gestellt werden von mindestens sechs Mitgliedern des Gerichts, im Falle des § 105 Absatz 1 Nummer 1 BVerfGG auch vom Präsidenten und vom Vizepräsidenten gemeinsam.</w:t>
      </w:r>
    </w:p>
    <w:p>
      <w:r>
        <w:t xml:space="preserve">(2) Der Antrag samt Begründung wird allen Mitgliedern des Gerichts in vertraulicher Form gegen Empfangsbestätigung mitgeteilt.</w:t>
      </w:r>
    </w:p>
    <w:p>
      <w:r>
        <w:rPr>
          <w:color w:val="555555"/>
          <w:sz w:val="17"/>
        </w:rPr>
        <w:t xml:space="preserve">Zitiervorschlag: § 49 BVerfGGO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https://recht.nulegal.eu/gesetze/BVerfGGO%202015/49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