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BVerfGGO 2015</w:t>
      </w:r>
    </w:p>
    <w:p>
      <w:r>
        <w:rPr>
          <w:color w:val="555555"/>
          <w:sz w:val="18"/>
        </w:rPr>
        <w:t xml:space="preserve">Geschäftsordnung des Bundesverfassungsgerichts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Vorbereitung der Entscheidung des Plenums benennen die Vorsitzenden der Senate jeweils ein berichterstattendes Mitglied. Diese legen spätestens zehn Tage vor der Plenarsitzung ein Votum vor.</w:t>
      </w:r>
    </w:p>
    <w:p>
      <w:r>
        <w:t xml:space="preserve">(2) Der Beschluss des Plenums ist zu begründen. Er ist ebenso wie Entscheidungen der Senate zu behandeln.</w:t>
      </w:r>
    </w:p>
    <w:p>
      <w:r>
        <w:rPr>
          <w:color w:val="555555"/>
          <w:sz w:val="17"/>
        </w:rPr>
        <w:t xml:space="preserve">Zitiervorschlag: § 48 BVerfGGO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https://recht.nulegal.eu/gesetze/BVerfGGO%202015/48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