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Senat, der in einer Rechtsfrage von der in einer Entscheidung des anderen Senats oder des Plenums enthaltenen Rechtsauffassung abweichen will, ruft das Plenum durch Senatsbeschluss an.</w:t>
      </w:r>
    </w:p>
    <w:p>
      <w:r>
        <w:t xml:space="preserve">(2) Die Anrufung des Plenums entfällt, wenn der Senat, von dessen Entscheidung abgewichen werden will, auf Anfrage erklärt, dass er an seiner Rechtsauffassung nicht festhalte.</w:t>
      </w:r>
    </w:p>
    <w:p>
      <w:r>
        <w:rPr>
          <w:color w:val="555555"/>
          <w:sz w:val="17"/>
        </w:rPr>
        <w:t xml:space="preserve">Zitiervorschlag: § 47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