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44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Vorsitzenden werden über alle verfahrenseinleitenden Anträge für ihren Senat unterrichtet. Dabei werden sie auf Zweifel, die Senatszuständigkeiten betreffen, hingewiesen. Sie führen gegebenenfalls eine Erörterung in ihrem Senat herbei.</w:t>
      </w:r>
    </w:p>
    <w:p>
      <w:r>
        <w:t xml:space="preserve">(2) Eine Sache kann an den anderen Senat abgegeben werden, wenn die Vorsitzenden und berichterstattenden Mitglieder beider Senate darüber einig sind.</w:t>
      </w:r>
    </w:p>
    <w:p>
      <w:r>
        <w:t xml:space="preserve">(3) Jedes Mitglied des Gerichts kann die Einberufung des Ausschusses beantragen. Der Ausschuss wird unverzüglich – in der Regel mit einer Ladungsfrist von vierzehn Tagen – einberufen. Dies gilt nicht, wenn der Senat die Beratung in der Sache begonnen hat.</w:t>
      </w:r>
    </w:p>
    <w:p>
      <w:r>
        <w:rPr>
          <w:color w:val="555555"/>
          <w:sz w:val="17"/>
        </w:rPr>
        <w:t xml:space="preserve">Zitiervorschlag: § 44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https://recht.nulegal.eu/gesetze/BVerfGGO%202015/44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44 BVerfGGO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