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BVerfGGO 2015</w:t>
      </w:r>
    </w:p>
    <w:p>
      <w:r>
        <w:rPr>
          <w:color w:val="555555"/>
          <w:sz w:val="18"/>
        </w:rPr>
        <w:t xml:space="preserve">Geschäftsordnung des Bundesverfassungsgerichts</w:t>
      </w:r>
    </w:p>
    <w:p>
      <w:r>
        <w:rPr>
          <w:color w:val="555555"/>
          <w:sz w:val="18"/>
        </w:rPr>
        <w:t xml:space="preserve">Stand: 10.06.2019 (konsolidierte Textfassung, kein amtliches Inkrafttretensdatum)</w:t>
      </w:r>
    </w:p>
    <w:p>
      <w:r>
        <w:t xml:space="preserve">In den nach § 14 Absatz 5 BVerfGG zu bildenden Ausschuss wählt jeder Senat für die Dauer eines Geschäftsjahres zwei Mitglieder des Gerichts und deren Stellvertretung. Der Präsident wird im Vorsitz vom Vizepräsidenten vertreten, bei dessen Verhinderung vom dienstältesten, bei gleichem Dienstalter von dem lebensältesten Mitglied des Ausschusses.</w:t>
      </w:r>
    </w:p>
    <w:p>
      <w:r>
        <w:rPr>
          <w:color w:val="555555"/>
          <w:sz w:val="17"/>
        </w:rPr>
        <w:t xml:space="preserve">Zitiervorschlag: § 43 BVerfGGO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https://recht.nulegal.eu/gesetze/BVerfGGO%202015/43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