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Verfahrensakten des Gerichts zu Senatsentscheidungen einschließlich der in § 34 genannten Schriftstücke können nach zehn Jahren an das Bundesarchiv abgegeben werden.</w:t>
      </w:r>
    </w:p>
    <w:p>
      <w:r>
        <w:t xml:space="preserve">(2) Die Vernichtung von Verfahrensakten und von Schriftstücken nach § 34 ist nach 30 Jahren zulässig. Hiervon ausgeschlossen sind Verfahrensakten und Schriftstücke nach § 34 zu Entscheidungen, die seitens des Gerichts zur Veröffentlichung bestimmt wurden.</w:t>
      </w:r>
    </w:p>
    <w:p>
      <w:r>
        <w:rPr>
          <w:color w:val="555555"/>
          <w:sz w:val="17"/>
        </w:rPr>
        <w:t xml:space="preserve">Zitiervorschlag: § 37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