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Akteneinsicht entscheidet der oder die Vorsitzende im Benehmen mit dem berichterstattenden Mitglied des Senats. Im Fall des § 63 Absatz 2 Buchstabe c entscheidet der Präsident. Über die Akteneinsicht bei Verfahren im Allgemeinen Register nach § 63 Absatz 1 entscheiden die gemäß § 65 Zuständigen.</w:t>
      </w:r>
    </w:p>
    <w:p>
      <w:r>
        <w:t xml:space="preserve">(2) Nach Abschluss des Verfahrens kann Beteiligten (§ 20 BVerfGG) entsprechend § 35b Absatz 1 Satz 1 und 2 BVerfGG Akteneinsicht gewährt werden.</w:t>
      </w:r>
    </w:p>
    <w:p>
      <w:r>
        <w:t xml:space="preserve">(3) Die Vorschriften des Bundesdatenschutzgesetzes über die Übermittlung personenbezogener Daten finden Anwendung.</w:t>
      </w:r>
    </w:p>
    <w:p>
      <w:r>
        <w:rPr>
          <w:color w:val="555555"/>
          <w:sz w:val="17"/>
        </w:rPr>
        <w:t xml:space="preserve">Zitiervorschlag: § 35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