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BVerfGGO 2015</w:t>
      </w:r>
    </w:p>
    <w:p>
      <w:r>
        <w:rPr>
          <w:color w:val="555555"/>
          <w:sz w:val="18"/>
        </w:rPr>
        <w:t xml:space="preserve">Geschäftsordnung des Bundesverfassungsgerichts</w:t>
      </w:r>
    </w:p>
    <w:p>
      <w:r>
        <w:rPr>
          <w:color w:val="555555"/>
          <w:sz w:val="18"/>
        </w:rPr>
        <w:t xml:space="preserve">Stand: 10.06.2019 (konsolidierte Textfassung, kein amtliches Inkrafttretensdatum)</w:t>
      </w:r>
    </w:p>
    <w:p>
      <w:r>
        <w:t xml:space="preserve">(1) Amtliche Informationen über ergangene Entscheidungen bedürfen der Billigung des berichterstattenden Mitglieds des Senats und des oder der Vorsitzenden und dürfen erst veröffentlicht werden, wenn anzunehmen ist, dass die Entscheidung den Prozessbeteiligten zugegangen ist.</w:t>
      </w:r>
    </w:p>
    <w:p>
      <w:r>
        <w:t xml:space="preserve">(2) Entsprechendes gilt für Beschlüsse der Kammern.</w:t>
      </w:r>
    </w:p>
    <w:p>
      <w:r>
        <w:rPr>
          <w:color w:val="555555"/>
          <w:sz w:val="17"/>
        </w:rPr>
        <w:t xml:space="preserve">Zitiervorschlag: § 32 BVerfGGO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https://recht.nulegal.eu/gesetze/BVerfGGO%202015/32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