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Richterinnen und Richter, die an einer Entscheidung mitgewirkt haben, sind im Rubrum mit ihrem Namen in der Reihenfolge ihres Dienstalters nach den Vorsitzenden aufzuführen.</w:t>
      </w:r>
    </w:p>
    <w:p>
      <w:r>
        <w:t xml:space="preserve">(2) Sind an einer Entscheidung mitwirkende Richterinnen oder Richter an der Unterschrift verhindert, so beurkunden dies die Vorsitzenden.</w:t>
      </w:r>
    </w:p>
    <w:p>
      <w:r>
        <w:rPr>
          <w:color w:val="555555"/>
          <w:sz w:val="17"/>
        </w:rPr>
        <w:t xml:space="preserve">Zitiervorschlag: § 28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