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BVerfGGO 2015</w:t>
      </w:r>
    </w:p>
    <w:p>
      <w:r>
        <w:rPr>
          <w:color w:val="555555"/>
          <w:sz w:val="18"/>
        </w:rPr>
        <w:t xml:space="preserve">Geschäftsordnung des Bundesverfassungsgerichts</w:t>
      </w:r>
    </w:p>
    <w:p>
      <w:r>
        <w:rPr>
          <w:color w:val="555555"/>
          <w:sz w:val="18"/>
        </w:rPr>
        <w:t xml:space="preserve">Stand: 10.06.2019 (konsolidierte Textfassung, kein amtliches Inkrafttretensdatum)</w:t>
      </w:r>
    </w:p>
    <w:p>
      <w:r>
        <w:t xml:space="preserve">(1) Die Richterinnen und Richter, die an der Entscheidung mitgewirkt haben, können bis zu deren Verkündung oder bis zu deren Ausfertigung zum Zwecke der Zustellung die Fortsetzung der Beratung verlangen, wenn sie ihre Stimmabgabe ändern wollen; sie können die Fortsetzung der Beratung beantragen, um bisher nicht erörterte Gesichtspunkte vorzutragen oder wenn ein Sondervotum dazu Anlass gibt.</w:t>
      </w:r>
    </w:p>
    <w:p>
      <w:r>
        <w:t xml:space="preserve">(2) Entscheidungen, die nicht auf Grund einer mündlichen Verhandlung ergangen sind, erhalten das Datum des Tages, an dem sie endgültig beschlossen worden sind.</w:t>
      </w:r>
    </w:p>
    <w:p>
      <w:r>
        <w:rPr>
          <w:color w:val="555555"/>
          <w:sz w:val="17"/>
        </w:rPr>
        <w:t xml:space="preserve">Zitiervorschlag: § 26 BVerfGGO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https://recht.nulegal.eu/gesetze/BVerfGGO%202015/26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