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jeder Sache, die vom Senat zu entscheiden ist, legt das berichterstattende Mitglied des Senats ein schriftliches Votum vor. Gleichzeitig gehen den Mitgliedern des Senats die Handakten zu, die alle verfahrens- und entscheidungserheblichen Schriftstücke enthalten. In einfachen Fällen kann an Stelle eines Votums ein begründeter Entscheidungsentwurf vorgelegt werden.</w:t>
      </w:r>
    </w:p>
    <w:p>
      <w:r>
        <w:t xml:space="preserve">(2) Zwischen der Verteilung des Votums und der Beratung oder der mündlichen Verhandlung sollen mindestens zehn Tage liegen.</w:t>
      </w:r>
    </w:p>
    <w:p>
      <w:r>
        <w:rPr>
          <w:color w:val="555555"/>
          <w:sz w:val="17"/>
        </w:rPr>
        <w:t xml:space="preserve">Zitiervorschlag: § 23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BVerfGGO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