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Senate bestimmen, an welchen Wochentagen sie regelmäßig zur Beratung zusammentreten. Außerordentliche Sitzungen bedürfen eines Senatsbeschlusses; in Eilfällen kann der oder die Vorsitzende eine außerordentliche Sitzung einberufen.</w:t>
      </w:r>
    </w:p>
    <w:p>
      <w:r>
        <w:t xml:space="preserve">(2) Der oder die Vorsitzende setzt im Benehmen mit dem Senat die Tagesordnung fest. Sie soll den Mitgliedern des Senats mindestens zehn Tage vorher zugehen.</w:t>
      </w:r>
    </w:p>
    <w:p>
      <w:r>
        <w:rPr>
          <w:color w:val="555555"/>
          <w:sz w:val="17"/>
        </w:rPr>
        <w:t xml:space="preserve">Zitiervorschlag: § 21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