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(1) Der Senat beschließt vor Beginn eines Geschäftsjahres mit Wirkung vom Beginn dieses Geschäftsjahres an, nach welchen Grundsätzen die verfahrenseinleitenden Anträge auf die Mitglieder des Gerichts einschließlich der Vorsitzenden zur Berichterstattung zu verteilen sind. Von diesen Grundsätzen kann während des Geschäftsjahres nur abgewichen werden, wenn dies wegen Überlastung oder längerer Verhinderung eines Mitglieds des Gerichts nötig wird.</w:t>
      </w:r>
    </w:p>
    <w:p>
      <w:r>
        <w:t xml:space="preserve">(2) Der oder die Vorsitzende stellt fest, wer für die Berichterstattung zuständig ist. In Zweifelsfällen werden die betroffenen Mitglieder des Senats vor der Zuweisung angehört. Bei Meinungsverschiedenheiten entscheidet grundsätzlich der Senat. Der oder die Vorsitzende kann wegen der besonderen Bedeutung der Sache im Einvernehmen mit dem Senat ein Mitglied zur Mitberichterstattung bestimmen.</w:t>
      </w:r>
    </w:p>
    <w:p>
      <w:r>
        <w:rPr>
          <w:color w:val="555555"/>
          <w:sz w:val="17"/>
        </w:rPr>
        <w:t xml:space="preserve">Zitiervorschlag: § 20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