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17 BVerfGGO 2015</w:t>
      </w:r>
    </w:p>
    <w:p>
      <w:r>
        <w:rPr>
          <w:color w:val="555555"/>
          <w:sz w:val="18"/>
        </w:rPr>
        <w:t xml:space="preserve">Geschäftsordnung des Bundesverfassungsgerichts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Amtliche Informationen des Gerichts werden von der Pressestelle veröffentlicht.</w:t>
      </w:r>
    </w:p>
    <w:p>
      <w:r>
        <w:t xml:space="preserve">(2) Amtliche Informationen an die Medien aus dem Bereich eines Senates bedürfen der Zustimmung des oder der Vorsitzenden.</w:t>
      </w:r>
    </w:p>
    <w:p>
      <w:r>
        <w:t xml:space="preserve">(3) Die Medienarbeit des Gerichts wird durch die Pressestelle koordiniert.</w:t>
      </w:r>
    </w:p>
    <w:p>
      <w:r>
        <w:rPr>
          <w:color w:val="555555"/>
          <w:sz w:val="17"/>
        </w:rPr>
        <w:t xml:space="preserve">Zitiervorschlag: § 17 BVerfGGO 2015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https://recht.nulegal.eu/gesetze/BVerfGGO%202015/17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