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wissenschaftlichen Mitarbeiterinnen und Mitarbeiter unterstützen das Mitglied des Gerichts, dem sie zugewiesen sind, bei dessen dienstlicher Tätigkeit. Sie sind dabei an dessen Weisungen gebunden.</w:t>
      </w:r>
    </w:p>
    <w:p>
      <w:r>
        <w:t xml:space="preserve">(2) Die Richterinnen und Richter sind berechtigt, ihre wissenschaftlichen Mitarbeiterinnen und Mitarbeiter selbst auszuwählen. Ihnen obliegt die dienstliche Beurteilung; die Vorsitzenden der Senate können eine eigene Beurteilung beifügen.</w:t>
      </w:r>
    </w:p>
    <w:p>
      <w:r>
        <w:rPr>
          <w:color w:val="555555"/>
          <w:sz w:val="17"/>
        </w:rPr>
        <w:t xml:space="preserve">Zitiervorschlag: § 13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