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BVerfGGO 2015</w:t>
      </w:r>
    </w:p>
    <w:p>
      <w:r>
        <w:rPr>
          <w:color w:val="555555"/>
          <w:sz w:val="18"/>
        </w:rPr>
        <w:t xml:space="preserve">Geschäftsordnung des Bundesverfassungsgerichts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Direktor und die Abteilungsleitung „Justizverwaltung“ unterstützen insbesondere die Vorsitzenden der Senate bei der Erledigung der Senatsgeschäfte.</w:t>
      </w:r>
    </w:p>
    <w:p>
      <w:r>
        <w:t xml:space="preserve">(2) Sie müssen die Befähigung zum Richteramt haben und sind in Senatsangelegenheiten ausschließlich an die Weisung der Vorsitzenden gebunden.</w:t>
      </w:r>
    </w:p>
    <w:p>
      <w:r>
        <w:rPr>
          <w:color w:val="555555"/>
          <w:sz w:val="17"/>
        </w:rPr>
        <w:t xml:space="preserve">Zitiervorschlag: § 12 BVerfGGO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https://recht.nulegal.eu/gesetze/BVerfGGO%202015/12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