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97d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13.01.2026 (konsolidierte Textfassung, kein amtliches Inkrafttretensdatum)</w:t>
      </w:r>
    </w:p>
    <w:p>
      <w:r>
        <w:t xml:space="preserve">(1) Der Berichterstatter des beanstandeten Verfahrens soll binnen eines Monats nach Eingang der Begründung der Verzögerungsbeschwerde eine Stellungnahme vorlegen.</w:t>
      </w:r>
    </w:p>
    <w:p>
      <w:r>
        <w:t xml:space="preserve">(2) Die Beschwerdekammer entscheidet mit Mehrheit. Bei Stimmengleichheit gilt die Verzögerungsbeschwerde als zurückgewiesen. Die Beschwerdekammer entscheidet ohne mündliche Verhandlung. Der Beschluss über die Verzögerungsbeschwerde bedarf keiner Begründung.</w:t>
      </w:r>
    </w:p>
    <w:p>
      <w:r>
        <w:t xml:space="preserve">(3) Die Entscheidung ist unanfechtbar.</w:t>
      </w:r>
    </w:p>
    <w:p>
      <w:r>
        <w:rPr>
          <w:color w:val="555555"/>
          <w:sz w:val="17"/>
        </w:rPr>
        <w:t xml:space="preserve">Zitiervorschlag: § 97d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https://recht.nulegal.eu/gesetze/BVerfGG/97d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