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97c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Verzögerungsbeschwerde entscheidet die Beschwerdekammer, in die das Plenum zwei Richter aus jedem Senat beruft. Die regelmäßige Amtszeit beträgt zwei Jahre.</w:t>
      </w:r>
    </w:p>
    <w:p>
      <w:r>
        <w:t xml:space="preserve">(2) Für den Fall, dass der Berichterstatter des beanstandeten Verfahrens Mitglied der Beschwerdekammer ist, ist er von der Mitwirkung am Beschwerdeverfahren ausgeschlossen.</w:t>
      </w:r>
    </w:p>
    <w:p>
      <w:r>
        <w:t xml:space="preserve">(3) Das Nähere, insbesondere die Bestimmung des Vorsitzes und die Gewährleistung eines kontinuierlichen Nachrückens für ausscheidende Kammermitglieder sowie die Vertretung in der Kammer, regelt die Geschäftsordnung.</w:t>
      </w:r>
    </w:p>
    <w:p>
      <w:r>
        <w:rPr>
          <w:color w:val="555555"/>
          <w:sz w:val="17"/>
        </w:rPr>
        <w:t xml:space="preserve">Zitiervorschlag: § 97c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https://recht.nulegal.eu/gesetze/BVerfGG/97c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