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97b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Über Entschädigung und Wiedergutmachung wird auf Grund einer Beschwerde zum Bundesverfassungsgericht entschieden (Verzögerungsbeschwerde). Die Verzögerungsbeschwerde ist nur zulässig, wenn der Beschwerdeführer beim Bundesverfassungsgericht die Dauer des Verfahrens gerügt hat (Verzögerungsrüge). Die Verzögerungsrüge ist schriftlich und unter Darlegung der Umstände, die die Unangemessenheit der Verfahrensdauer begründen, einzulegen. Sie ist frühestens zwölf Monate nach Eingang des Verfahrens beim Bundesverfassungsgericht zulässig. Einer Bescheidung der Verzögerungsrüge bedarf es nicht.</w:t>
      </w:r>
    </w:p>
    <w:p>
      <w:r>
        <w:t xml:space="preserve">(2) Die Verzögerungsbeschwerde kann frühestens sechs Monate nach Erheben einer Verzögerungsrüge erhoben werden; ist eine Entscheidung des Bundesverfassungsgerichts ergangen oder das Verfahren anderweitig erledigt worden, ist die Verzögerungsbeschwerde binnen drei Monaten zu erheben. Sie ist schriftlich einzulegen und gleichzeitig zu begründen. Bis zur rechtskräftigen Entscheidung über die Verzögerungsbeschwerde ist der Anspruch nicht übertragbar.</w:t>
      </w:r>
    </w:p>
    <w:p>
      <w:r>
        <w:rPr>
          <w:color w:val="555555"/>
          <w:sz w:val="17"/>
        </w:rPr>
        <w:t xml:space="preserve">Zitiervorschlag: § 97b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https://recht.nulegal.eu/gesetze/BVerfGG/97b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