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Beschwerdeberechtigt sind Vereinigungen und Parteien, denen die Anerkennung als wahlvorschlagsberechtigte Partei nach § 18 Absatz 4 des Bundeswahlgesetzes versagt wurde.</w:t>
      </w:r>
    </w:p>
    <w:p>
      <w:r>
        <w:t xml:space="preserve">(2) Die Beschwerde ist binnen einer Frist von vier Tagen nach Bekanntgabe der Entscheidung in der Sitzung des Bundeswahlausschusses nach § 18 Absatz 4 Satz 2 des Bundeswahlgesetzes zu erheben und zu begründen.</w:t>
      </w:r>
    </w:p>
    <w:p>
      <w:r>
        <w:t xml:space="preserve">(3) § 32 findet keine Anwendung.</w:t>
      </w:r>
    </w:p>
    <w:p>
      <w:r>
        <w:rPr>
          <w:color w:val="555555"/>
          <w:sz w:val="17"/>
        </w:rPr>
        <w:t xml:space="preserve">Zitiervorschlag: § 96a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