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Aus der Begründung eines Antrags nach Artikel 94 Absatz 2 Satz 1 des Grundgesetzes muss sich das Vorliegen der in Artikel 94 Absatz 2 Satz 3 des Grundgesetzes bezeichneten Voraussetzung ergeben.</w:t>
      </w:r>
    </w:p>
    <w:p>
      <w:r>
        <w:t xml:space="preserve">(2) Das Bundesverfassungsgericht gibt den anderen Antragsberechtigten sowie dem Bundestag und der Bundesregierung binnen einer zu bestimmenden Frist Gelegenheit zur Äußerung.</w:t>
      </w:r>
    </w:p>
    <w:p>
      <w:r>
        <w:t xml:space="preserve">(3) Ein Äußerungsberechtigter nach Absatz 2 kann in jeder Lage des Verfahrens beitreten.</w:t>
      </w:r>
    </w:p>
    <w:p>
      <w:r>
        <w:rPr>
          <w:color w:val="555555"/>
          <w:sz w:val="17"/>
        </w:rPr>
        <w:t xml:space="preserve">Zitiervorschlag: § 96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