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Verfassungsbeschwerde bedarf der Annahme zur Entscheidung.</w:t>
      </w:r>
    </w:p>
    <w:p>
      <w:r>
        <w:t xml:space="preserve">(2) Sie ist zur Entscheidung anzunehmen,</w:t>
      </w:r>
    </w:p>
    <w:p>
      <w:pPr>
        <w:ind w:left="420"/>
      </w:pPr>
      <w:r>
        <w:t xml:space="preserve">a) soweit ihr grundsätzliche verfassungsrechtliche Bedeutung zukommt,</w:t>
      </w:r>
    </w:p>
    <w:p>
      <w:pPr>
        <w:ind w:left="420"/>
      </w:pPr>
      <w:r>
        <w:t xml:space="preserve">b) wenn es zur Durchsetzung der in § 90 Abs. 1 genannten Rechte angezeigt ist; dies kann auch der Fall sein, wenn dem Beschwerdeführer durch die Versagung der Entscheidung zur Sache ein besonders schwerer Nachteil entsteht.</w:t>
      </w:r>
    </w:p>
    <w:p>
      <w:r>
        <w:rPr>
          <w:color w:val="555555"/>
          <w:sz w:val="17"/>
        </w:rPr>
        <w:t xml:space="preserve">Zitiervorschlag: § 93a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