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Bundestag und Bundesrat wählen im Wechsel den Präsidenten des Bundesverfassungsgerichts und den Vizepräsidenten. Der Vizepräsident ist aus dem Senat zu wählen, dem der Präsident nicht angehört.</w:t>
      </w:r>
    </w:p>
    <w:p>
      <w:r>
        <w:t xml:space="preserve">(2) Bei der ersten Wahl wählt der Bundestag den Präsidenten, der Bundesrat den Vizepräsidenten.</w:t>
      </w:r>
    </w:p>
    <w:p>
      <w:r>
        <w:t xml:space="preserve">(3) Die Vorschriften der §§ 6 und 7 gelten entsprechend.</w:t>
      </w:r>
    </w:p>
    <w:p>
      <w:r>
        <w:rPr>
          <w:color w:val="555555"/>
          <w:sz w:val="17"/>
        </w:rPr>
        <w:t xml:space="preserve">Zitiervorschlag: § 9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