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Antragsberechtigt sind der Bundestag, der Bundesrat, die Bundesregierung und die Landesregierungen.</w:t>
      </w:r>
    </w:p>
    <w:p>
      <w:r>
        <w:t xml:space="preserve">(2) Wenn in einem gerichtlichen Verfahren streitig und erheblich ist, ob ein Gesetz als Bundesrecht fortgilt, so hat das Gericht in sinngemäßer Anwendung des § 80 die Entscheidung des Bundesverfassungsgerichts einzuholen.</w:t>
      </w:r>
    </w:p>
    <w:p>
      <w:r>
        <w:rPr>
          <w:color w:val="555555"/>
          <w:sz w:val="17"/>
        </w:rPr>
        <w:t xml:space="preserve">Zitiervorschlag: § 86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