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Entscheidung des Bundesverfassungsgerichts gemäß Artikel 100 Abs. 3 Satz 1 des Grundgesetzes einzuholen, so legt das Verfassungsgericht des Landes unter Darlegung seiner Rechtsauffassung die Akten vor.</w:t>
      </w:r>
    </w:p>
    <w:p>
      <w:r>
        <w:t xml:space="preserve">(2) Das Bundesverfassungsgericht gibt dem Bundesrat, der Bundesregierung und, wenn es von einer Entscheidung des Verfassungsgerichts eines Landes abweichen will, diesem Gericht Gelegenheit zur Äußerung binnen einer zu bestimmenden Frist.</w:t>
      </w:r>
    </w:p>
    <w:p>
      <w:r>
        <w:t xml:space="preserve">(3) Das Bundesverfassungsgericht entscheidet nur über die Rechtsfrage.</w:t>
      </w:r>
    </w:p>
    <w:p>
      <w:r>
        <w:rPr>
          <w:color w:val="555555"/>
          <w:sz w:val="17"/>
        </w:rPr>
        <w:t xml:space="preserve">Zitiervorschlag: § 85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