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Bundesverfassungsgericht stellt in den Fällen des Artikels 100 Abs. 2 des Grundgesetzes in seiner Entscheidung fest, ob die Regel des Völkerrechts Bestandteil des Bundesrechts ist und ob sie unmittelbar Rechte und Pflichten für den einzelnen erzeugt.</w:t>
      </w:r>
    </w:p>
    <w:p>
      <w:r>
        <w:t xml:space="preserve">(2) Das Bundesverfassungsgericht hat vorher dem Bundestag, dem Bundesrat und der Bundesregierung Gelegenheit zur Äußerung binnen einer zu bestimmenden Frist zu geben. Sie können in jeder Lage des Verfahrens beitreten.</w:t>
      </w:r>
    </w:p>
    <w:p>
      <w:r>
        <w:rPr>
          <w:color w:val="555555"/>
          <w:sz w:val="17"/>
        </w:rPr>
        <w:t xml:space="preserve">Zitiervorschlag: § 83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