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82a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80 bis 82 gelten vorbehaltlich der Absätze 2 und 3 sinngemäß für die Überprüfung der Vereinbarkeit eines Beschlusses des Deutschen Bundestages zur Einsetzung eines Untersuchungsausschusses mit dem Grundgesetz auf Vorlage nach § 36 Abs. 2 des Untersuchungsausschussgesetzes.</w:t>
      </w:r>
    </w:p>
    <w:p>
      <w:r>
        <w:t xml:space="preserve">(2) Äußerungsberechtigt sind der Bundestag und die qualifizierte Minderheit nach Artikel 44 Abs. 1 des Grundgesetzes, auf deren Antrag der Einsetzungsbeschluss beruht. Ferner kann das Bundesverfassungsgericht der Bundesregierung, dem Bundesrat, Landesregierungen, der qualifizierten Minderheit nach § 18 Abs. 3 des Untersuchungsausschussgesetzes und Personen Gelegenheit zur Äußerung geben, soweit sie von dem Einsetzungsbeschluss berührt sind.</w:t>
      </w:r>
    </w:p>
    <w:p>
      <w:r>
        <w:t xml:space="preserve">(3) Das Bundesverfassungsgericht kann ohne mündliche Verhandlung entscheiden.</w:t>
      </w:r>
    </w:p>
    <w:p>
      <w:r>
        <w:rPr>
          <w:color w:val="555555"/>
          <w:sz w:val="17"/>
        </w:rPr>
        <w:t xml:space="preserve">Zitiervorschlag: § 82a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https://recht.nulegal.eu/gesetze/BVerfGG/82a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