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Sind die Voraussetzungen des Artikels 100 Abs. 1 des Grundgesetzes gegeben, so holen die Gerichte unmittelbar die Entscheidung des Bundesverfassungsgerichts ein.</w:t>
      </w:r>
    </w:p>
    <w:p>
      <w:r>
        <w:t xml:space="preserve">(2) Die Begründung muß angeben, inwiefern von der Gültigkeit der Rechtsvorschrift die Entscheidung des Gerichts abhängig ist und mit welcher übergeordneten Rechtsnorm sie unvereinbar ist. Die Akten sind beizufügen.</w:t>
      </w:r>
    </w:p>
    <w:p>
      <w:r>
        <w:t xml:space="preserve">(3) Der Antrag des Gerichts ist unabhängig von der Rüge der Nichtigkeit der Rechtsvorschrift durch einen Prozeßbeteiligten.</w:t>
      </w:r>
    </w:p>
    <w:p>
      <w:r>
        <w:rPr>
          <w:color w:val="555555"/>
          <w:sz w:val="17"/>
        </w:rPr>
        <w:t xml:space="preserve">Zitiervorschlag: § 80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